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6.xml" ContentType="application/vnd.openxmlformats-officedocument.wordprocessingml.footer+xml"/>
  <Override PartName="/word/media/image1.png" ContentType="image/png"/>
  <Override PartName="/word/media/image2.png" ContentType="image/png"/>
  <Override PartName="/word/styles.xml" ContentType="application/vnd.openxmlformats-officedocument.wordprocessingml.styles+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2.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jc w:val="center"/>
        <w:rPr>
          <w:b/>
          <w:bCs/>
          <w:color w:val="auto"/>
          <w:szCs w:val="24"/>
          <w:lang w:val="ro-RO"/>
        </w:rPr>
      </w:pPr>
      <w:r>
        <mc:AlternateContent>
          <mc:Choice Requires="wpg">
            <w:drawing>
              <wp:anchor behindDoc="0" distT="0" distB="19050" distL="5080" distR="13970" simplePos="0" locked="0" layoutInCell="0" allowOverlap="1" relativeHeight="2" wp14:anchorId="70AB7F5E">
                <wp:simplePos x="0" y="0"/>
                <wp:positionH relativeFrom="column">
                  <wp:posOffset>161925</wp:posOffset>
                </wp:positionH>
                <wp:positionV relativeFrom="paragraph">
                  <wp:posOffset>9525</wp:posOffset>
                </wp:positionV>
                <wp:extent cx="685800" cy="800100"/>
                <wp:effectExtent l="5080" t="0" r="5080" b="4445"/>
                <wp:wrapNone/>
                <wp:docPr id="1" name="Group 13"/>
                <a:graphic xmlns:a="http://schemas.openxmlformats.org/drawingml/2006/main">
                  <a:graphicData uri="http://schemas.microsoft.com/office/word/2010/wordprocessingGroup">
                    <wpg:wgp>
                      <wpg:cNvGrpSpPr/>
                      <wpg:grpSpPr>
                        <a:xfrm>
                          <a:off x="0" y="0"/>
                          <a:ext cx="685800" cy="800280"/>
                          <a:chOff x="0" y="0"/>
                          <a:chExt cx="685800" cy="800280"/>
                        </a:xfrm>
                      </wpg:grpSpPr>
                      <pic:pic xmlns:pic="http://schemas.openxmlformats.org/drawingml/2006/picture">
                        <pic:nvPicPr>
                          <pic:cNvPr id="0" name="Picture 14" descr=""/>
                          <pic:cNvPicPr/>
                        </pic:nvPicPr>
                        <pic:blipFill>
                          <a:blip r:embed="rId2"/>
                          <a:stretch/>
                        </pic:blipFill>
                        <pic:spPr>
                          <a:xfrm>
                            <a:off x="3960" y="0"/>
                            <a:ext cx="672480" cy="800280"/>
                          </a:xfrm>
                          <a:prstGeom prst="rect">
                            <a:avLst/>
                          </a:prstGeom>
                          <a:ln w="9525">
                            <a:noFill/>
                          </a:ln>
                        </pic:spPr>
                      </pic:pic>
                      <wps:wsp>
                        <wps:cNvSpPr/>
                        <wps:spPr>
                          <a:xfrm>
                            <a:off x="0" y="659160"/>
                            <a:ext cx="355680" cy="140400"/>
                          </a:xfrm>
                          <a:prstGeom prst="rtTriangle">
                            <a:avLst/>
                          </a:prstGeom>
                          <a:solidFill>
                            <a:srgbClr val="ffffff"/>
                          </a:solidFill>
                          <a:ln w="9525">
                            <a:solidFill>
                              <a:srgbClr val="ffffff"/>
                            </a:solidFill>
                            <a:miter/>
                          </a:ln>
                        </wps:spPr>
                        <wps:style>
                          <a:lnRef idx="0"/>
                          <a:fillRef idx="0"/>
                          <a:effectRef idx="0"/>
                          <a:fontRef idx="minor"/>
                        </wps:style>
                        <wps:bodyPr/>
                      </wps:wsp>
                      <wps:wsp>
                        <wps:cNvSpPr/>
                        <wps:spPr>
                          <a:xfrm flipH="1">
                            <a:off x="330120" y="659160"/>
                            <a:ext cx="355680" cy="140400"/>
                          </a:xfrm>
                          <a:prstGeom prst="rtTriangle">
                            <a:avLst/>
                          </a:prstGeom>
                          <a:solidFill>
                            <a:srgbClr val="ffffff"/>
                          </a:solidFill>
                          <a:ln w="9525">
                            <a:solidFill>
                              <a:srgbClr val="ffffff"/>
                            </a:solidFill>
                            <a:miter/>
                          </a:ln>
                        </wps:spPr>
                        <wps:style>
                          <a:lnRef idx="0"/>
                          <a:fillRef idx="0"/>
                          <a:effectRef idx="0"/>
                          <a:fontRef idx="minor"/>
                        </wps:style>
                        <wps:bodyPr/>
                      </wps:wsp>
                    </wpg:wgp>
                  </a:graphicData>
                </a:graphic>
              </wp:anchor>
            </w:drawing>
          </mc:Choice>
          <mc:Fallback>
            <w:pict>
              <v:group id="shape_0" alt="Group 13" style="position:absolute;margin-left:12.75pt;margin-top:0.75pt;width:54pt;height:63pt" coordorigin="255,15" coordsize="1080,1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4" stroked="f" o:allowincell="f" style="position:absolute;left:261;top:15;width:1058;height:1259;mso-wrap-style:none;v-text-anchor:middle" type="_x0000_t75">
                  <v:imagedata r:id="rId3" o:detectmouseclick="t"/>
                  <v:stroke color="#3465a4" weight="9360" joinstyle="round" endcap="flat"/>
                  <w10:wrap type="none"/>
                </v:shape>
                <v:shapetype id="_x0000_t6" coordsize="21600,21600" o:spt="6" path="m,21600l,l21600,21600xe">
                  <v:stroke joinstyle="miter"/>
                  <v:formulas>
                    <v:f eqn="prod height 7 12"/>
                    <v:f eqn="prod width 7 12"/>
                    <v:f eqn="prod height 11 12"/>
                  </v:formulas>
                  <v:path gradientshapeok="t" o:connecttype="rect" textboxrect="1800,@0,@1,@2"/>
                </v:shapetype>
                <v:shape id="shape_0" ID="AutoShape 15" path="l0,0l-2147483639,-2147483641xe" fillcolor="white" stroked="t" o:allowincell="f" style="position:absolute;left:255;top:1053;width:559;height:220;mso-wrap-style:none;v-text-anchor:middle" type="_x0000_t6">
                  <v:fill o:detectmouseclick="t" type="solid" color2="black"/>
                  <v:stroke color="white" weight="9360" joinstyle="miter" endcap="flat"/>
                  <w10:wrap type="none"/>
                </v:shape>
                <v:shape id="shape_0" ID="AutoShape 16" path="l0,0l-2147483639,-2147483641xe" fillcolor="white" stroked="t" o:allowincell="f" style="position:absolute;left:775;top:1053;width:559;height:220;flip:x;mso-wrap-style:none;v-text-anchor:middle" type="_x0000_t6">
                  <v:fill o:detectmouseclick="t" type="solid" color2="black"/>
                  <v:stroke color="white" weight="9360" joinstyle="miter" endcap="flat"/>
                  <w10:wrap type="none"/>
                </v:shape>
              </v:group>
            </w:pict>
          </mc:Fallback>
        </mc:AlternateContent>
        <w:drawing>
          <wp:anchor behindDoc="0" distT="0" distB="0" distL="0" distR="0" simplePos="0" locked="0" layoutInCell="0" allowOverlap="1" relativeHeight="3">
            <wp:simplePos x="0" y="0"/>
            <wp:positionH relativeFrom="column">
              <wp:posOffset>5505450</wp:posOffset>
            </wp:positionH>
            <wp:positionV relativeFrom="paragraph">
              <wp:posOffset>9525</wp:posOffset>
            </wp:positionV>
            <wp:extent cx="607695" cy="914400"/>
            <wp:effectExtent l="0" t="0" r="0" b="0"/>
            <wp:wrapNone/>
            <wp:docPr id="2"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descr=""/>
                    <pic:cNvPicPr>
                      <a:picLocks noChangeAspect="1" noChangeArrowheads="1"/>
                    </pic:cNvPicPr>
                  </pic:nvPicPr>
                  <pic:blipFill>
                    <a:blip r:embed="rId4"/>
                    <a:stretch>
                      <a:fillRect/>
                    </a:stretch>
                  </pic:blipFill>
                  <pic:spPr bwMode="auto">
                    <a:xfrm>
                      <a:off x="0" y="0"/>
                      <a:ext cx="607695" cy="914400"/>
                    </a:xfrm>
                    <a:prstGeom prst="rect">
                      <a:avLst/>
                    </a:prstGeom>
                  </pic:spPr>
                </pic:pic>
              </a:graphicData>
            </a:graphic>
          </wp:anchor>
        </w:drawing>
      </w:r>
      <w:r>
        <w:rPr>
          <w:bCs/>
          <w:color w:val="auto"/>
          <w:szCs w:val="24"/>
          <w:lang w:val="ro-RO"/>
        </w:rPr>
        <w:t>UNITATEA ADMINISTRATIV</w:t>
      </w:r>
      <w:r>
        <w:rPr>
          <w:b/>
          <w:bCs/>
          <w:color w:val="auto"/>
          <w:szCs w:val="24"/>
          <w:lang w:val="ro-RO"/>
        </w:rPr>
        <w:t>-</w:t>
      </w:r>
      <w:r>
        <w:rPr>
          <w:bCs/>
          <w:color w:val="auto"/>
          <w:szCs w:val="24"/>
          <w:lang w:val="ro-RO"/>
        </w:rPr>
        <w:t>TERITORIALĂ</w:t>
      </w:r>
      <w:r>
        <w:rPr>
          <w:b/>
          <w:bCs/>
          <w:color w:val="auto"/>
          <w:szCs w:val="24"/>
          <w:lang w:val="ro-RO"/>
        </w:rPr>
        <w:t xml:space="preserve"> </w:t>
      </w:r>
    </w:p>
    <w:p>
      <w:pPr>
        <w:pStyle w:val="TextBody"/>
        <w:jc w:val="center"/>
        <w:rPr>
          <w:b/>
          <w:bCs/>
          <w:color w:val="auto"/>
          <w:szCs w:val="24"/>
          <w:lang w:val="ro-RO"/>
        </w:rPr>
      </w:pPr>
      <w:r>
        <w:rPr>
          <w:b/>
          <w:bCs/>
          <w:color w:val="auto"/>
          <w:szCs w:val="24"/>
          <w:lang w:val="ro-RO"/>
        </w:rPr>
        <w:t>ORAŞUL PUCIOASA</w:t>
      </w:r>
    </w:p>
    <w:p>
      <w:pPr>
        <w:pStyle w:val="TextBody"/>
        <w:jc w:val="center"/>
        <w:rPr>
          <w:bCs/>
          <w:color w:val="auto"/>
          <w:szCs w:val="24"/>
          <w:lang w:val="ro-RO"/>
        </w:rPr>
      </w:pPr>
      <w:r>
        <w:rPr>
          <w:bCs/>
          <w:color w:val="auto"/>
          <w:szCs w:val="24"/>
          <w:lang w:val="ro-RO"/>
        </w:rPr>
        <w:t>Str. Fântânelor Nr.7</w:t>
      </w:r>
    </w:p>
    <w:p>
      <w:pPr>
        <w:pStyle w:val="TextBody"/>
        <w:jc w:val="center"/>
        <w:rPr>
          <w:bCs/>
          <w:color w:val="auto"/>
          <w:szCs w:val="24"/>
          <w:lang w:val="ro-RO"/>
        </w:rPr>
      </w:pPr>
      <w:r>
        <w:rPr>
          <w:bCs/>
          <w:color w:val="auto"/>
          <w:szCs w:val="24"/>
          <w:lang w:val="ro-RO"/>
        </w:rPr>
        <w:t>Telefon: 0245/232277; Fax: 0245/760484</w:t>
      </w:r>
    </w:p>
    <w:p>
      <w:pPr>
        <w:pStyle w:val="TextBody"/>
        <w:numPr>
          <w:ilvl w:val="0"/>
          <w:numId w:val="1"/>
        </w:numPr>
        <w:jc w:val="center"/>
        <w:rPr>
          <w:bCs/>
          <w:color w:val="auto"/>
          <w:szCs w:val="24"/>
          <w:lang w:val="ro-RO"/>
        </w:rPr>
      </w:pPr>
      <w:r>
        <w:rPr>
          <w:bCs/>
          <w:color w:val="auto"/>
          <w:szCs w:val="24"/>
          <w:lang w:val="ro-RO"/>
        </w:rPr>
        <w:t xml:space="preserve">mail: </w:t>
      </w:r>
      <w:hyperlink r:id="rId5">
        <w:r>
          <w:rPr>
            <w:rStyle w:val="InternetLink"/>
            <w:bCs/>
            <w:color w:val="auto"/>
            <w:szCs w:val="24"/>
            <w:lang w:val="ro-RO"/>
          </w:rPr>
          <w:t>info@primpuc.ro</w:t>
        </w:r>
      </w:hyperlink>
    </w:p>
    <w:p>
      <w:pPr>
        <w:pStyle w:val="TextBody"/>
        <w:jc w:val="center"/>
        <w:rPr>
          <w:bCs/>
          <w:color w:val="auto"/>
          <w:sz w:val="12"/>
          <w:szCs w:val="12"/>
        </w:rPr>
      </w:pPr>
      <w:r>
        <w:rPr>
          <w:bCs/>
          <w:color w:val="auto"/>
          <w:sz w:val="12"/>
          <w:szCs w:val="12"/>
        </w:rPr>
      </w:r>
    </w:p>
    <w:p>
      <w:pPr>
        <w:pStyle w:val="Normal"/>
        <w:jc w:val="center"/>
        <w:rPr>
          <w:b/>
          <w:sz w:val="22"/>
          <w:szCs w:val="22"/>
        </w:rPr>
      </w:pPr>
      <w:r>
        <w:rPr>
          <w:b/>
          <w:sz w:val="22"/>
          <w:szCs w:val="22"/>
        </w:rPr>
      </w:r>
    </w:p>
    <w:p>
      <w:pPr>
        <w:pStyle w:val="Normal"/>
        <w:spacing w:lineRule="auto" w:line="276" w:before="0" w:after="20"/>
        <w:rPr>
          <w:b/>
          <w:bCs/>
          <w:i/>
          <w:i/>
          <w:iCs/>
          <w:sz w:val="21"/>
          <w:szCs w:val="21"/>
        </w:rPr>
      </w:pPr>
      <w:r>
        <w:rPr>
          <w:b/>
          <w:bCs/>
          <w:i/>
          <w:iCs/>
          <w:sz w:val="21"/>
          <w:szCs w:val="21"/>
        </w:rPr>
      </w:r>
    </w:p>
    <w:p>
      <w:pPr>
        <w:pStyle w:val="Normal"/>
        <w:spacing w:lineRule="auto" w:line="276" w:before="0" w:after="20"/>
        <w:rPr>
          <w:b/>
          <w:bCs/>
          <w:i/>
          <w:i/>
          <w:iCs/>
          <w:sz w:val="21"/>
          <w:szCs w:val="21"/>
        </w:rPr>
      </w:pPr>
      <w:r>
        <w:rPr>
          <w:b/>
          <w:bCs/>
          <w:i/>
          <w:iCs/>
          <w:sz w:val="21"/>
          <w:szCs w:val="21"/>
        </w:rPr>
      </w:r>
    </w:p>
    <w:p>
      <w:pPr>
        <w:pStyle w:val="Normal"/>
        <w:spacing w:before="0" w:after="0"/>
        <w:contextualSpacing/>
        <w:jc w:val="center"/>
        <w:rPr>
          <w:b/>
          <w:bCs/>
          <w:i/>
          <w:i/>
          <w:iCs/>
          <w:sz w:val="28"/>
          <w:szCs w:val="28"/>
        </w:rPr>
      </w:pPr>
      <w:r>
        <w:rPr>
          <w:b/>
          <w:bCs/>
          <w:i/>
          <w:iCs/>
          <w:sz w:val="28"/>
          <w:szCs w:val="28"/>
        </w:rPr>
        <w:t>Anexa nr. 1 la Planul de selecție – Componenta inițială,</w:t>
      </w:r>
    </w:p>
    <w:p>
      <w:pPr>
        <w:pStyle w:val="Normal"/>
        <w:spacing w:before="0" w:after="0"/>
        <w:contextualSpacing/>
        <w:jc w:val="center"/>
        <w:rPr>
          <w:sz w:val="28"/>
          <w:szCs w:val="28"/>
        </w:rPr>
      </w:pPr>
      <w:r>
        <w:rPr>
          <w:sz w:val="28"/>
          <w:szCs w:val="28"/>
        </w:rPr>
      </w:r>
    </w:p>
    <w:p>
      <w:pPr>
        <w:pStyle w:val="Normal"/>
        <w:spacing w:before="0" w:after="0"/>
        <w:contextualSpacing/>
        <w:jc w:val="center"/>
        <w:rPr>
          <w:sz w:val="28"/>
          <w:szCs w:val="28"/>
        </w:rPr>
      </w:pPr>
      <w:r>
        <w:rPr>
          <w:b/>
          <w:bCs/>
          <w:i/>
          <w:iCs/>
          <w:sz w:val="28"/>
          <w:szCs w:val="28"/>
        </w:rPr>
        <w:t>aprobat prin H.C.L. Pucioasa nr. ______ / ____________</w:t>
      </w:r>
    </w:p>
    <w:p>
      <w:pPr>
        <w:pStyle w:val="Normal"/>
        <w:spacing w:before="0" w:after="0"/>
        <w:contextualSpacing/>
        <w:jc w:val="center"/>
        <w:rPr>
          <w:sz w:val="28"/>
          <w:szCs w:val="28"/>
        </w:rPr>
      </w:pPr>
      <w:r>
        <w:rPr>
          <w:sz w:val="28"/>
          <w:szCs w:val="28"/>
        </w:rPr>
      </w:r>
    </w:p>
    <w:p>
      <w:pPr>
        <w:pStyle w:val="Normal"/>
        <w:spacing w:before="0" w:after="0"/>
        <w:contextualSpacing/>
        <w:jc w:val="center"/>
        <w:rPr>
          <w:sz w:val="28"/>
          <w:szCs w:val="28"/>
        </w:rPr>
      </w:pPr>
      <w:r>
        <w:rPr>
          <w:sz w:val="28"/>
          <w:szCs w:val="28"/>
        </w:rPr>
      </w:r>
    </w:p>
    <w:p>
      <w:pPr>
        <w:pStyle w:val="Normal"/>
        <w:spacing w:before="0" w:after="0"/>
        <w:contextualSpacing/>
        <w:jc w:val="center"/>
        <w:rPr>
          <w:sz w:val="28"/>
          <w:szCs w:val="28"/>
        </w:rPr>
      </w:pPr>
      <w:r>
        <w:rPr>
          <w:sz w:val="28"/>
          <w:szCs w:val="28"/>
        </w:rPr>
      </w:r>
    </w:p>
    <w:p>
      <w:pPr>
        <w:pStyle w:val="Normal"/>
        <w:spacing w:before="0" w:after="0"/>
        <w:contextualSpacing/>
        <w:jc w:val="center"/>
        <w:rPr>
          <w:sz w:val="28"/>
          <w:szCs w:val="28"/>
        </w:rPr>
      </w:pPr>
      <w:r>
        <w:rPr>
          <w:sz w:val="28"/>
          <w:szCs w:val="28"/>
        </w:rPr>
      </w:r>
    </w:p>
    <w:p>
      <w:pPr>
        <w:pStyle w:val="Normal"/>
        <w:spacing w:before="0" w:after="0"/>
        <w:contextualSpacing/>
        <w:jc w:val="center"/>
        <w:rPr>
          <w:b/>
          <w:bCs/>
          <w:sz w:val="32"/>
          <w:szCs w:val="32"/>
        </w:rPr>
      </w:pPr>
      <w:r>
        <w:rPr>
          <w:b/>
          <w:bCs/>
          <w:sz w:val="32"/>
          <w:szCs w:val="32"/>
        </w:rPr>
        <w:t>SCRISOARE DE AȘTEPTĂRI</w:t>
      </w:r>
    </w:p>
    <w:p>
      <w:pPr>
        <w:pStyle w:val="Normal"/>
        <w:spacing w:before="0" w:after="0"/>
        <w:contextualSpacing/>
        <w:jc w:val="center"/>
        <w:rPr>
          <w:b/>
          <w:bCs/>
          <w:sz w:val="32"/>
          <w:szCs w:val="32"/>
        </w:rPr>
      </w:pPr>
      <w:r>
        <w:rPr>
          <w:b/>
          <w:bCs/>
          <w:sz w:val="32"/>
          <w:szCs w:val="32"/>
        </w:rPr>
      </w:r>
    </w:p>
    <w:p>
      <w:pPr>
        <w:pStyle w:val="Normal"/>
        <w:spacing w:before="0" w:after="0"/>
        <w:contextualSpacing/>
        <w:jc w:val="center"/>
        <w:rPr>
          <w:b/>
          <w:bCs/>
          <w:sz w:val="32"/>
          <w:szCs w:val="32"/>
        </w:rPr>
      </w:pPr>
      <w:r>
        <w:rPr>
          <w:b/>
          <w:bCs/>
          <w:sz w:val="32"/>
          <w:szCs w:val="32"/>
        </w:rPr>
      </w:r>
    </w:p>
    <w:p>
      <w:pPr>
        <w:pStyle w:val="Normal"/>
        <w:spacing w:before="0" w:after="0"/>
        <w:contextualSpacing/>
        <w:jc w:val="center"/>
        <w:rPr>
          <w:sz w:val="32"/>
          <w:szCs w:val="32"/>
        </w:rPr>
      </w:pPr>
      <w:r>
        <w:rPr>
          <w:sz w:val="32"/>
          <w:szCs w:val="32"/>
        </w:rPr>
      </w:r>
    </w:p>
    <w:p>
      <w:pPr>
        <w:pStyle w:val="Normal"/>
        <w:spacing w:before="0" w:after="0"/>
        <w:contextualSpacing/>
        <w:jc w:val="center"/>
        <w:rPr>
          <w:sz w:val="28"/>
          <w:szCs w:val="28"/>
        </w:rPr>
      </w:pPr>
      <w:r>
        <w:rPr>
          <w:i/>
          <w:iCs/>
          <w:sz w:val="28"/>
          <w:szCs w:val="28"/>
        </w:rPr>
        <w:t>privind performanțele așteptate de la organele de administrare și conducere ale</w:t>
      </w:r>
    </w:p>
    <w:p>
      <w:pPr>
        <w:pStyle w:val="Normal"/>
        <w:spacing w:before="0" w:after="0"/>
        <w:contextualSpacing/>
        <w:jc w:val="center"/>
        <w:rPr>
          <w:sz w:val="26"/>
          <w:szCs w:val="26"/>
        </w:rPr>
      </w:pPr>
      <w:r>
        <w:rPr>
          <w:b/>
          <w:bCs/>
          <w:sz w:val="26"/>
          <w:szCs w:val="26"/>
        </w:rPr>
        <w:t>S.C. SERVICII COMUNITARE DE UTILITĂȚI PUBLICE PUCIOASA SCUP S.R.L.</w:t>
      </w:r>
    </w:p>
    <w:p>
      <w:pPr>
        <w:pStyle w:val="Normal"/>
        <w:spacing w:before="0" w:after="0"/>
        <w:contextualSpacing/>
        <w:jc w:val="center"/>
        <w:rPr>
          <w:b/>
          <w:bCs/>
          <w:sz w:val="28"/>
          <w:szCs w:val="28"/>
        </w:rPr>
      </w:pPr>
      <w:r>
        <w:rPr>
          <w:b/>
          <w:bCs/>
          <w:sz w:val="28"/>
          <w:szCs w:val="28"/>
        </w:rPr>
      </w:r>
    </w:p>
    <w:p>
      <w:pPr>
        <w:pStyle w:val="Normal"/>
        <w:spacing w:before="0" w:after="0"/>
        <w:contextualSpacing/>
        <w:jc w:val="center"/>
        <w:rPr>
          <w:b/>
          <w:bCs/>
          <w:sz w:val="28"/>
          <w:szCs w:val="28"/>
        </w:rPr>
      </w:pPr>
      <w:r>
        <w:rPr>
          <w:b/>
          <w:bCs/>
          <w:sz w:val="28"/>
          <w:szCs w:val="28"/>
        </w:rPr>
        <w:t>Perioada de mandat: 2026 – 2030</w:t>
      </w:r>
    </w:p>
    <w:p>
      <w:pPr>
        <w:pStyle w:val="Normal"/>
        <w:spacing w:before="0" w:after="0"/>
        <w:contextualSpacing/>
        <w:jc w:val="both"/>
        <w:rPr>
          <w:b/>
          <w:bCs/>
          <w:sz w:val="20"/>
          <w:szCs w:val="20"/>
        </w:rPr>
      </w:pPr>
      <w:r>
        <w:rPr>
          <w:b/>
          <w:bCs/>
          <w:sz w:val="20"/>
          <w:szCs w:val="20"/>
        </w:rPr>
      </w:r>
    </w:p>
    <w:p>
      <w:pPr>
        <w:pStyle w:val="Normal"/>
        <w:spacing w:before="0" w:after="0"/>
        <w:contextualSpacing/>
        <w:jc w:val="both"/>
        <w:rPr>
          <w:b/>
          <w:bCs/>
          <w:sz w:val="20"/>
          <w:szCs w:val="20"/>
        </w:rPr>
      </w:pPr>
      <w:r>
        <w:rPr>
          <w:b/>
          <w:bCs/>
          <w:sz w:val="20"/>
          <w:szCs w:val="20"/>
        </w:rPr>
      </w:r>
    </w:p>
    <w:p>
      <w:pPr>
        <w:pStyle w:val="Normal"/>
        <w:spacing w:before="0" w:after="0"/>
        <w:contextualSpacing/>
        <w:jc w:val="both"/>
        <w:rPr>
          <w:b/>
          <w:bCs/>
          <w:sz w:val="20"/>
          <w:szCs w:val="20"/>
        </w:rPr>
      </w:pPr>
      <w:r>
        <w:rPr>
          <w:b/>
          <w:bCs/>
          <w:sz w:val="20"/>
          <w:szCs w:val="20"/>
        </w:rPr>
      </w:r>
    </w:p>
    <w:p>
      <w:pPr>
        <w:pStyle w:val="Normal"/>
        <w:spacing w:before="0" w:after="0"/>
        <w:contextualSpacing/>
        <w:jc w:val="both"/>
        <w:rPr>
          <w:b/>
          <w:bCs/>
          <w:sz w:val="20"/>
          <w:szCs w:val="20"/>
        </w:rPr>
      </w:pPr>
      <w:r>
        <w:rPr>
          <w:b/>
          <w:bCs/>
          <w:sz w:val="20"/>
          <w:szCs w:val="20"/>
        </w:rPr>
      </w:r>
    </w:p>
    <w:p>
      <w:pPr>
        <w:pStyle w:val="Normal"/>
        <w:spacing w:before="0" w:after="0"/>
        <w:contextualSpacing/>
        <w:jc w:val="both"/>
        <w:rPr>
          <w:b/>
          <w:bCs/>
          <w:sz w:val="20"/>
          <w:szCs w:val="20"/>
        </w:rPr>
      </w:pPr>
      <w:r>
        <w:rPr>
          <w:b/>
          <w:bCs/>
          <w:sz w:val="20"/>
          <w:szCs w:val="20"/>
        </w:rPr>
      </w:r>
    </w:p>
    <w:p>
      <w:pPr>
        <w:pStyle w:val="Normal"/>
        <w:spacing w:before="0" w:after="0"/>
        <w:contextualSpacing/>
        <w:jc w:val="both"/>
        <w:rPr>
          <w:b/>
          <w:bCs/>
          <w:sz w:val="20"/>
          <w:szCs w:val="20"/>
        </w:rPr>
      </w:pPr>
      <w:r>
        <w:rPr>
          <w:b/>
          <w:bCs/>
          <w:sz w:val="20"/>
          <w:szCs w:val="20"/>
        </w:rPr>
      </w:r>
    </w:p>
    <w:p>
      <w:pPr>
        <w:pStyle w:val="Normal"/>
        <w:spacing w:before="0" w:after="0"/>
        <w:contextualSpacing/>
        <w:jc w:val="both"/>
        <w:rPr>
          <w:b/>
          <w:bCs/>
          <w:sz w:val="20"/>
          <w:szCs w:val="20"/>
        </w:rPr>
      </w:pPr>
      <w:r>
        <w:rPr>
          <w:b/>
          <w:bCs/>
          <w:sz w:val="20"/>
          <w:szCs w:val="20"/>
        </w:rPr>
      </w:r>
    </w:p>
    <w:p>
      <w:pPr>
        <w:pStyle w:val="Normal"/>
        <w:spacing w:before="0" w:after="0"/>
        <w:contextualSpacing/>
        <w:jc w:val="both"/>
        <w:rPr>
          <w:b/>
          <w:bCs/>
          <w:sz w:val="20"/>
          <w:szCs w:val="20"/>
        </w:rPr>
      </w:pPr>
      <w:r>
        <w:rPr>
          <w:b/>
          <w:bCs/>
          <w:sz w:val="20"/>
          <w:szCs w:val="20"/>
        </w:rPr>
      </w:r>
    </w:p>
    <w:p>
      <w:pPr>
        <w:pStyle w:val="Normal"/>
        <w:spacing w:before="0" w:after="0"/>
        <w:contextualSpacing/>
        <w:jc w:val="both"/>
        <w:rPr>
          <w:sz w:val="20"/>
          <w:szCs w:val="20"/>
        </w:rPr>
      </w:pPr>
      <w:r>
        <w:rPr>
          <w:sz w:val="20"/>
          <w:szCs w:val="20"/>
        </w:rPr>
      </w:r>
    </w:p>
    <w:tbl>
      <w:tblPr>
        <w:tblW w:w="5000" w:type="pct"/>
        <w:jc w:val="left"/>
        <w:tblInd w:w="0" w:type="dxa"/>
        <w:tblLayout w:type="fixed"/>
        <w:tblCellMar>
          <w:top w:w="60" w:type="dxa"/>
          <w:left w:w="70" w:type="dxa"/>
          <w:bottom w:w="60" w:type="dxa"/>
          <w:right w:w="70" w:type="dxa"/>
        </w:tblCellMar>
        <w:tblLook w:firstRow="1" w:noVBand="1" w:lastRow="0" w:firstColumn="1" w:lastColumn="0" w:noHBand="0" w:val="04a0"/>
      </w:tblPr>
      <w:tblGrid>
        <w:gridCol w:w="4818"/>
        <w:gridCol w:w="4818"/>
      </w:tblGrid>
      <w:tr>
        <w:trPr>
          <w:tblHeader w:val="true"/>
        </w:trPr>
        <w:tc>
          <w:tcPr>
            <w:tcW w:w="4818"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0" w:after="0"/>
              <w:contextualSpacing/>
              <w:jc w:val="center"/>
              <w:rPr>
                <w:sz w:val="20"/>
                <w:szCs w:val="20"/>
              </w:rPr>
            </w:pPr>
            <w:r>
              <w:rPr>
                <w:b/>
                <w:bCs/>
                <w:sz w:val="20"/>
                <w:szCs w:val="20"/>
              </w:rPr>
              <w:t>Elaborată de:</w:t>
            </w:r>
          </w:p>
        </w:tc>
        <w:tc>
          <w:tcPr>
            <w:tcW w:w="4818"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0" w:after="0"/>
              <w:contextualSpacing/>
              <w:jc w:val="center"/>
              <w:rPr>
                <w:sz w:val="20"/>
                <w:szCs w:val="20"/>
              </w:rPr>
            </w:pPr>
            <w:r>
              <w:rPr>
                <w:b/>
                <w:bCs/>
                <w:sz w:val="20"/>
                <w:szCs w:val="20"/>
              </w:rPr>
              <w:t>Aprobată prin:</w:t>
            </w:r>
          </w:p>
        </w:tc>
      </w:tr>
      <w:tr>
        <w:trPr/>
        <w:tc>
          <w:tcPr>
            <w:tcW w:w="481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sz w:val="20"/>
                <w:szCs w:val="20"/>
              </w:rPr>
              <w:t>Persoana delegată cu atribuții de Guvernanță</w:t>
            </w:r>
          </w:p>
          <w:p>
            <w:pPr>
              <w:pStyle w:val="Normal"/>
              <w:widowControl w:val="false"/>
              <w:spacing w:before="0" w:after="0"/>
              <w:contextualSpacing/>
              <w:jc w:val="center"/>
              <w:rPr>
                <w:sz w:val="20"/>
                <w:szCs w:val="20"/>
              </w:rPr>
            </w:pPr>
            <w:r>
              <w:rPr>
                <w:sz w:val="20"/>
                <w:szCs w:val="20"/>
              </w:rPr>
              <w:t>Corporativă din cadrul U.A.T. Orașul Pucioasa</w:t>
            </w:r>
          </w:p>
          <w:p>
            <w:pPr>
              <w:pStyle w:val="Normal"/>
              <w:widowControl w:val="false"/>
              <w:spacing w:before="0" w:after="0"/>
              <w:contextualSpacing/>
              <w:jc w:val="center"/>
              <w:rPr>
                <w:sz w:val="20"/>
                <w:szCs w:val="20"/>
              </w:rPr>
            </w:pPr>
            <w:r>
              <w:rPr>
                <w:sz w:val="20"/>
                <w:szCs w:val="20"/>
              </w:rPr>
            </w:r>
          </w:p>
          <w:p>
            <w:pPr>
              <w:pStyle w:val="Normal"/>
              <w:widowControl w:val="false"/>
              <w:spacing w:before="0" w:after="0"/>
              <w:contextualSpacing/>
              <w:jc w:val="center"/>
              <w:rPr>
                <w:sz w:val="20"/>
                <w:szCs w:val="20"/>
              </w:rPr>
            </w:pPr>
            <w:r>
              <w:rPr>
                <w:sz w:val="20"/>
                <w:szCs w:val="20"/>
              </w:rPr>
              <w:t>Ing. IONESCU DANIEL MARIAN</w:t>
            </w:r>
          </w:p>
          <w:p>
            <w:pPr>
              <w:pStyle w:val="Normal"/>
              <w:widowControl w:val="false"/>
              <w:spacing w:before="0" w:after="0"/>
              <w:contextualSpacing/>
              <w:jc w:val="center"/>
              <w:rPr>
                <w:sz w:val="20"/>
                <w:szCs w:val="20"/>
              </w:rPr>
            </w:pPr>
            <w:r>
              <w:rPr>
                <w:sz w:val="20"/>
                <w:szCs w:val="20"/>
              </w:rPr>
            </w:r>
          </w:p>
          <w:p>
            <w:pPr>
              <w:pStyle w:val="Normal"/>
              <w:widowControl w:val="false"/>
              <w:spacing w:before="0" w:after="0"/>
              <w:contextualSpacing/>
              <w:jc w:val="center"/>
              <w:rPr>
                <w:sz w:val="20"/>
                <w:szCs w:val="20"/>
              </w:rPr>
            </w:pPr>
            <w:r>
              <w:rPr>
                <w:sz w:val="20"/>
                <w:szCs w:val="20"/>
              </w:rPr>
              <w:t>_______________________</w:t>
            </w:r>
          </w:p>
        </w:tc>
        <w:tc>
          <w:tcPr>
            <w:tcW w:w="481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sz w:val="20"/>
                <w:szCs w:val="20"/>
              </w:rPr>
              <w:t>Hotărârea Consiliului Local al U.A.T. Orașul</w:t>
            </w:r>
          </w:p>
          <w:p>
            <w:pPr>
              <w:pStyle w:val="Normal"/>
              <w:widowControl w:val="false"/>
              <w:spacing w:before="0" w:after="0"/>
              <w:contextualSpacing/>
              <w:jc w:val="center"/>
              <w:rPr>
                <w:sz w:val="20"/>
                <w:szCs w:val="20"/>
              </w:rPr>
            </w:pPr>
            <w:r>
              <w:rPr>
                <w:sz w:val="20"/>
                <w:szCs w:val="20"/>
              </w:rPr>
              <w:t>Pucioasa nr. ______ / ______________</w:t>
            </w:r>
          </w:p>
          <w:p>
            <w:pPr>
              <w:pStyle w:val="Normal"/>
              <w:widowControl w:val="false"/>
              <w:spacing w:before="0" w:after="0"/>
              <w:contextualSpacing/>
              <w:jc w:val="center"/>
              <w:rPr>
                <w:sz w:val="20"/>
                <w:szCs w:val="20"/>
              </w:rPr>
            </w:pPr>
            <w:r>
              <w:rPr>
                <w:sz w:val="20"/>
                <w:szCs w:val="20"/>
              </w:rPr>
            </w:r>
          </w:p>
          <w:p>
            <w:pPr>
              <w:pStyle w:val="Normal"/>
              <w:widowControl w:val="false"/>
              <w:spacing w:before="0" w:after="0"/>
              <w:contextualSpacing/>
              <w:jc w:val="center"/>
              <w:rPr>
                <w:sz w:val="20"/>
                <w:szCs w:val="20"/>
              </w:rPr>
            </w:pPr>
            <w:r>
              <w:rPr>
                <w:sz w:val="20"/>
                <w:szCs w:val="20"/>
              </w:rPr>
              <w:t>Revizuită ca urmare a Adresei A.M.E.P.I.P.</w:t>
            </w:r>
          </w:p>
          <w:p>
            <w:pPr>
              <w:pStyle w:val="Normal"/>
              <w:widowControl w:val="false"/>
              <w:spacing w:before="0" w:after="0"/>
              <w:contextualSpacing/>
              <w:jc w:val="center"/>
              <w:rPr>
                <w:sz w:val="20"/>
                <w:szCs w:val="20"/>
              </w:rPr>
            </w:pPr>
            <w:r>
              <w:rPr>
                <w:sz w:val="20"/>
                <w:szCs w:val="20"/>
              </w:rPr>
              <w:t>nr. 5513/24.03.2026</w:t>
            </w:r>
          </w:p>
          <w:p>
            <w:pPr>
              <w:pStyle w:val="Normal"/>
              <w:widowControl w:val="false"/>
              <w:spacing w:before="0" w:after="0"/>
              <w:contextualSpacing/>
              <w:jc w:val="center"/>
              <w:rPr>
                <w:sz w:val="20"/>
                <w:szCs w:val="20"/>
              </w:rPr>
            </w:pPr>
            <w:r>
              <w:rPr>
                <w:sz w:val="20"/>
                <w:szCs w:val="20"/>
              </w:rPr>
            </w:r>
          </w:p>
          <w:p>
            <w:pPr>
              <w:pStyle w:val="Normal"/>
              <w:widowControl w:val="false"/>
              <w:spacing w:before="0" w:after="0"/>
              <w:contextualSpacing/>
              <w:jc w:val="center"/>
              <w:rPr>
                <w:sz w:val="20"/>
                <w:szCs w:val="20"/>
              </w:rPr>
            </w:pPr>
            <w:r>
              <w:rPr>
                <w:sz w:val="20"/>
                <w:szCs w:val="20"/>
              </w:rPr>
              <w:t>_______________________</w:t>
            </w:r>
          </w:p>
        </w:tc>
      </w:tr>
      <w:tr>
        <w:trPr>
          <w:trHeight w:val="549" w:hRule="atLeast"/>
        </w:trPr>
        <w:tc>
          <w:tcPr>
            <w:tcW w:w="481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i/>
                <w:iCs/>
                <w:sz w:val="20"/>
                <w:szCs w:val="20"/>
              </w:rPr>
              <w:t>Data elaborării versiunii revizuite: 31.07.2026</w:t>
            </w:r>
          </w:p>
        </w:tc>
        <w:tc>
          <w:tcPr>
            <w:tcW w:w="481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i/>
                <w:iCs/>
                <w:sz w:val="20"/>
                <w:szCs w:val="20"/>
              </w:rPr>
              <w:t>Data aprobării: ____________</w:t>
            </w:r>
          </w:p>
        </w:tc>
      </w:tr>
    </w:tbl>
    <w:p>
      <w:pPr>
        <w:pStyle w:val="Normal"/>
        <w:spacing w:before="0" w:after="0"/>
        <w:contextualSpacing/>
        <w:jc w:val="both"/>
        <w:rPr>
          <w:sz w:val="20"/>
          <w:szCs w:val="20"/>
        </w:rPr>
      </w:pPr>
      <w:r>
        <w:rPr>
          <w:sz w:val="20"/>
          <w:szCs w:val="20"/>
        </w:rPr>
      </w:r>
      <w:r>
        <w:br w:type="page"/>
      </w:r>
    </w:p>
    <w:p>
      <w:pPr>
        <w:pStyle w:val="Normal"/>
        <w:spacing w:before="0" w:after="0"/>
        <w:contextualSpacing/>
        <w:jc w:val="both"/>
        <w:rPr>
          <w:sz w:val="28"/>
          <w:szCs w:val="28"/>
        </w:rPr>
      </w:pPr>
      <w:r>
        <w:rPr>
          <w:sz w:val="28"/>
          <w:szCs w:val="28"/>
        </w:rPr>
      </w:r>
    </w:p>
    <w:p>
      <w:pPr>
        <w:pStyle w:val="Normal"/>
        <w:spacing w:before="0" w:after="0"/>
        <w:contextualSpacing/>
        <w:jc w:val="both"/>
        <w:rPr>
          <w:sz w:val="28"/>
          <w:szCs w:val="28"/>
        </w:rPr>
      </w:pPr>
      <w:r>
        <w:rPr>
          <w:sz w:val="28"/>
          <w:szCs w:val="28"/>
        </w:rPr>
      </w:r>
    </w:p>
    <w:p>
      <w:pPr>
        <w:pStyle w:val="Normal"/>
        <w:spacing w:before="0" w:after="0"/>
        <w:contextualSpacing/>
        <w:jc w:val="both"/>
        <w:rPr>
          <w:sz w:val="28"/>
          <w:szCs w:val="28"/>
        </w:rPr>
      </w:pPr>
      <w:r>
        <w:rPr>
          <w:sz w:val="28"/>
          <w:szCs w:val="28"/>
        </w:rPr>
      </w:r>
    </w:p>
    <w:p>
      <w:pPr>
        <w:pStyle w:val="Heading1"/>
        <w:spacing w:beforeAutospacing="0" w:before="0" w:afterAutospacing="0" w:after="0"/>
        <w:contextualSpacing/>
        <w:jc w:val="both"/>
        <w:rPr>
          <w:sz w:val="28"/>
          <w:szCs w:val="28"/>
        </w:rPr>
      </w:pPr>
      <w:r>
        <w:rPr>
          <w:sz w:val="28"/>
          <w:szCs w:val="28"/>
        </w:rPr>
        <w:t>CUPRINS</w:t>
      </w:r>
    </w:p>
    <w:p>
      <w:pPr>
        <w:pStyle w:val="Normal"/>
        <w:rPr/>
      </w:pPr>
      <w:r>
        <w:rPr/>
      </w:r>
    </w:p>
    <w:p>
      <w:pPr>
        <w:pStyle w:val="Normal"/>
        <w:rPr/>
      </w:pPr>
      <w:r>
        <w:rPr/>
      </w:r>
    </w:p>
    <w:sdt>
      <w:sdtPr>
        <w:docPartObj>
          <w:docPartGallery w:val="Table of Contents"/>
          <w:docPartUnique w:val="true"/>
        </w:docPartObj>
      </w:sdtPr>
      <w:sdtContent>
        <w:p>
          <w:pPr>
            <w:pStyle w:val="Contents1"/>
            <w:rPr>
              <w:sz w:val="20"/>
              <w:szCs w:val="20"/>
            </w:rPr>
          </w:pPr>
          <w:r>
            <w:fldChar w:fldCharType="begin"/>
          </w:r>
          <w:r>
            <w:rPr>
              <w:sz w:val="20"/>
              <w:szCs w:val="20"/>
            </w:rPr>
            <w:instrText xml:space="preserve"> TOC \z \o "1-2" \u \h</w:instrText>
          </w:r>
          <w:r>
            <w:rPr>
              <w:sz w:val="20"/>
              <w:szCs w:val="20"/>
            </w:rPr>
            <w:fldChar w:fldCharType="separate"/>
          </w:r>
          <w:r>
            <w:rPr>
              <w:sz w:val="20"/>
              <w:szCs w:val="20"/>
            </w:rPr>
          </w:r>
        </w:p>
        <w:p>
          <w:pPr>
            <w:pStyle w:val="Contents1"/>
            <w:tabs>
              <w:tab w:val="clear" w:pos="708"/>
              <w:tab w:val="right" w:pos="9060" w:leader="dot"/>
            </w:tabs>
            <w:rPr/>
          </w:pPr>
          <w:hyperlink w:anchor="_Toc701">
            <w:r>
              <w:rPr>
                <w:webHidden/>
                <w:rStyle w:val="IndexLink"/>
                <w:b/>
                <w:bCs/>
              </w:rPr>
              <w:t>I. INTRODUCERE</w:t>
            </w:r>
            <w:r>
              <w:rPr>
                <w:webHidden/>
              </w:rPr>
              <w:fldChar w:fldCharType="begin"/>
            </w:r>
            <w:r>
              <w:rPr>
                <w:webHidden/>
              </w:rPr>
              <w:instrText xml:space="preserve">PAGEREF _Toc701 \h</w:instrText>
            </w:r>
            <w:r>
              <w:rPr>
                <w:webHidden/>
              </w:rPr>
              <w:fldChar w:fldCharType="separate"/>
            </w:r>
            <w:r>
              <w:rPr>
                <w:rStyle w:val="IndexLink"/>
              </w:rPr>
              <w:tab/>
              <w:t>3</w:t>
            </w:r>
            <w:r>
              <w:rPr>
                <w:webHidden/>
              </w:rPr>
              <w:fldChar w:fldCharType="end"/>
            </w:r>
          </w:hyperlink>
        </w:p>
        <w:p>
          <w:pPr>
            <w:pStyle w:val="Contents1"/>
            <w:tabs>
              <w:tab w:val="clear" w:pos="708"/>
              <w:tab w:val="right" w:pos="9060" w:leader="dot"/>
            </w:tabs>
            <w:rPr/>
          </w:pPr>
          <w:hyperlink w:anchor="_Toc702">
            <w:r>
              <w:rPr>
                <w:webHidden/>
                <w:rStyle w:val="IndexLink"/>
                <w:b/>
                <w:bCs/>
              </w:rPr>
              <w:t>II. PREZENTAREA SOCIETĂȚII</w:t>
            </w:r>
            <w:r>
              <w:rPr>
                <w:webHidden/>
              </w:rPr>
              <w:fldChar w:fldCharType="begin"/>
            </w:r>
            <w:r>
              <w:rPr>
                <w:webHidden/>
              </w:rPr>
              <w:instrText xml:space="preserve">PAGEREF _Toc702 \h</w:instrText>
            </w:r>
            <w:r>
              <w:rPr>
                <w:webHidden/>
              </w:rPr>
              <w:fldChar w:fldCharType="separate"/>
            </w:r>
            <w:r>
              <w:rPr>
                <w:rStyle w:val="IndexLink"/>
              </w:rPr>
              <w:tab/>
              <w:t>3</w:t>
            </w:r>
            <w:r>
              <w:rPr>
                <w:webHidden/>
              </w:rPr>
              <w:fldChar w:fldCharType="end"/>
            </w:r>
          </w:hyperlink>
        </w:p>
        <w:p>
          <w:pPr>
            <w:pStyle w:val="Contents2"/>
            <w:tabs>
              <w:tab w:val="clear" w:pos="708"/>
              <w:tab w:val="right" w:pos="9060" w:leader="dot"/>
            </w:tabs>
            <w:rPr/>
          </w:pPr>
          <w:hyperlink w:anchor="_Toc703">
            <w:r>
              <w:rPr>
                <w:webHidden/>
              </w:rPr>
              <w:fldChar w:fldCharType="begin"/>
            </w:r>
            <w:r>
              <w:rPr>
                <w:webHidden/>
              </w:rPr>
              <w:instrText xml:space="preserve">PAGEREF _Toc703 \h</w:instrText>
            </w:r>
            <w:r>
              <w:rPr>
                <w:webHidden/>
              </w:rPr>
              <w:fldChar w:fldCharType="separate"/>
            </w:r>
            <w:r>
              <w:rPr>
                <w:webHidden/>
                <w:rStyle w:val="IndexLink"/>
              </w:rPr>
              <w:t>II.1. Date de identificare</w:t>
              <w:tab/>
              <w:t>3</w:t>
            </w:r>
            <w:r>
              <w:rPr>
                <w:webHidden/>
              </w:rPr>
              <w:fldChar w:fldCharType="end"/>
            </w:r>
          </w:hyperlink>
        </w:p>
        <w:p>
          <w:pPr>
            <w:pStyle w:val="Contents2"/>
            <w:tabs>
              <w:tab w:val="clear" w:pos="708"/>
              <w:tab w:val="right" w:pos="9060" w:leader="dot"/>
            </w:tabs>
            <w:rPr/>
          </w:pPr>
          <w:hyperlink w:anchor="_Toc704">
            <w:r>
              <w:rPr>
                <w:webHidden/>
              </w:rPr>
              <w:fldChar w:fldCharType="begin"/>
            </w:r>
            <w:r>
              <w:rPr>
                <w:webHidden/>
              </w:rPr>
              <w:instrText xml:space="preserve">PAGEREF _Toc704 \h</w:instrText>
            </w:r>
            <w:r>
              <w:rPr>
                <w:webHidden/>
              </w:rPr>
              <w:fldChar w:fldCharType="separate"/>
            </w:r>
            <w:r>
              <w:rPr>
                <w:webHidden/>
                <w:rStyle w:val="IndexLink"/>
              </w:rPr>
              <w:t>II.2. Obiectul de activitate</w:t>
              <w:tab/>
              <w:t>3</w:t>
            </w:r>
            <w:r>
              <w:rPr>
                <w:webHidden/>
              </w:rPr>
              <w:fldChar w:fldCharType="end"/>
            </w:r>
          </w:hyperlink>
        </w:p>
        <w:p>
          <w:pPr>
            <w:pStyle w:val="Contents2"/>
            <w:tabs>
              <w:tab w:val="clear" w:pos="708"/>
              <w:tab w:val="right" w:pos="9060" w:leader="dot"/>
            </w:tabs>
            <w:rPr/>
          </w:pPr>
          <w:hyperlink w:anchor="_Toc705">
            <w:r>
              <w:rPr>
                <w:webHidden/>
              </w:rPr>
              <w:fldChar w:fldCharType="begin"/>
            </w:r>
            <w:r>
              <w:rPr>
                <w:webHidden/>
              </w:rPr>
              <w:instrText xml:space="preserve">PAGEREF _Toc705 \h</w:instrText>
            </w:r>
            <w:r>
              <w:rPr>
                <w:webHidden/>
              </w:rPr>
              <w:fldChar w:fldCharType="separate"/>
            </w:r>
            <w:r>
              <w:rPr>
                <w:webHidden/>
                <w:rStyle w:val="IndexLink"/>
              </w:rPr>
              <w:t>II.3. Încadrarea societății după scop</w:t>
              <w:tab/>
              <w:t>3</w:t>
            </w:r>
            <w:r>
              <w:rPr>
                <w:webHidden/>
              </w:rPr>
              <w:fldChar w:fldCharType="end"/>
            </w:r>
          </w:hyperlink>
        </w:p>
        <w:p>
          <w:pPr>
            <w:pStyle w:val="Contents2"/>
            <w:tabs>
              <w:tab w:val="clear" w:pos="708"/>
              <w:tab w:val="right" w:pos="9060" w:leader="dot"/>
            </w:tabs>
            <w:rPr/>
          </w:pPr>
          <w:hyperlink w:anchor="_Toc706">
            <w:r>
              <w:rPr>
                <w:webHidden/>
              </w:rPr>
              <w:fldChar w:fldCharType="begin"/>
            </w:r>
            <w:r>
              <w:rPr>
                <w:webHidden/>
              </w:rPr>
              <w:instrText xml:space="preserve">PAGEREF _Toc706 \h</w:instrText>
            </w:r>
            <w:r>
              <w:rPr>
                <w:webHidden/>
              </w:rPr>
              <w:fldChar w:fldCharType="separate"/>
            </w:r>
            <w:r>
              <w:rPr>
                <w:webHidden/>
                <w:rStyle w:val="IndexLink"/>
              </w:rPr>
              <w:t>II.4. Servicii publice delegate</w:t>
              <w:tab/>
              <w:t>4</w:t>
            </w:r>
            <w:r>
              <w:rPr>
                <w:webHidden/>
              </w:rPr>
              <w:fldChar w:fldCharType="end"/>
            </w:r>
          </w:hyperlink>
        </w:p>
        <w:p>
          <w:pPr>
            <w:pStyle w:val="Contents1"/>
            <w:tabs>
              <w:tab w:val="clear" w:pos="708"/>
              <w:tab w:val="right" w:pos="9060" w:leader="dot"/>
            </w:tabs>
            <w:rPr/>
          </w:pPr>
          <w:hyperlink w:anchor="_Toc707">
            <w:r>
              <w:rPr>
                <w:webHidden/>
                <w:rStyle w:val="IndexLink"/>
                <w:b/>
                <w:bCs/>
              </w:rPr>
              <w:t>III. CADRUL LEGAL</w:t>
            </w:r>
            <w:r>
              <w:rPr>
                <w:webHidden/>
              </w:rPr>
              <w:fldChar w:fldCharType="begin"/>
            </w:r>
            <w:r>
              <w:rPr>
                <w:webHidden/>
              </w:rPr>
              <w:instrText xml:space="preserve">PAGEREF _Toc707 \h</w:instrText>
            </w:r>
            <w:r>
              <w:rPr>
                <w:webHidden/>
              </w:rPr>
              <w:fldChar w:fldCharType="separate"/>
            </w:r>
            <w:r>
              <w:rPr>
                <w:rStyle w:val="IndexLink"/>
              </w:rPr>
              <w:tab/>
              <w:t>4</w:t>
            </w:r>
            <w:r>
              <w:rPr>
                <w:webHidden/>
              </w:rPr>
              <w:fldChar w:fldCharType="end"/>
            </w:r>
          </w:hyperlink>
        </w:p>
        <w:p>
          <w:pPr>
            <w:pStyle w:val="Contents1"/>
            <w:tabs>
              <w:tab w:val="clear" w:pos="708"/>
              <w:tab w:val="right" w:pos="9060" w:leader="dot"/>
            </w:tabs>
            <w:rPr/>
          </w:pPr>
          <w:hyperlink w:anchor="_Toc708">
            <w:r>
              <w:rPr>
                <w:webHidden/>
                <w:rStyle w:val="IndexLink"/>
                <w:b/>
                <w:bCs/>
              </w:rPr>
              <w:t>IV. CONTEXTUL ECONOMICO-FINANCIAR AL MANDATULUI</w:t>
            </w:r>
            <w:r>
              <w:rPr>
                <w:webHidden/>
              </w:rPr>
              <w:fldChar w:fldCharType="begin"/>
            </w:r>
            <w:r>
              <w:rPr>
                <w:webHidden/>
              </w:rPr>
              <w:instrText xml:space="preserve">PAGEREF _Toc708 \h</w:instrText>
            </w:r>
            <w:r>
              <w:rPr>
                <w:webHidden/>
              </w:rPr>
              <w:fldChar w:fldCharType="separate"/>
            </w:r>
            <w:r>
              <w:rPr>
                <w:rStyle w:val="IndexLink"/>
              </w:rPr>
              <w:tab/>
              <w:t>4</w:t>
            </w:r>
            <w:r>
              <w:rPr>
                <w:webHidden/>
              </w:rPr>
              <w:fldChar w:fldCharType="end"/>
            </w:r>
          </w:hyperlink>
        </w:p>
        <w:p>
          <w:pPr>
            <w:pStyle w:val="Contents1"/>
            <w:tabs>
              <w:tab w:val="clear" w:pos="708"/>
              <w:tab w:val="right" w:pos="9060" w:leader="dot"/>
            </w:tabs>
            <w:rPr/>
          </w:pPr>
          <w:hyperlink w:anchor="_Toc709">
            <w:r>
              <w:rPr>
                <w:webHidden/>
                <w:rStyle w:val="IndexLink"/>
                <w:b/>
                <w:bCs/>
              </w:rPr>
              <w:t>V. VIZIUNEA AUTORITĂȚII PUBLICE TUTELARE – UAT ORAŞUL PUCIOASA</w:t>
            </w:r>
            <w:r>
              <w:rPr>
                <w:webHidden/>
              </w:rPr>
              <w:fldChar w:fldCharType="begin"/>
            </w:r>
            <w:r>
              <w:rPr>
                <w:webHidden/>
              </w:rPr>
              <w:instrText xml:space="preserve">PAGEREF _Toc709 \h</w:instrText>
            </w:r>
            <w:r>
              <w:rPr>
                <w:webHidden/>
              </w:rPr>
              <w:fldChar w:fldCharType="separate"/>
            </w:r>
            <w:r>
              <w:rPr>
                <w:rStyle w:val="IndexLink"/>
              </w:rPr>
              <w:tab/>
              <w:t>5</w:t>
            </w:r>
            <w:r>
              <w:rPr>
                <w:webHidden/>
              </w:rPr>
              <w:fldChar w:fldCharType="end"/>
            </w:r>
          </w:hyperlink>
        </w:p>
        <w:p>
          <w:pPr>
            <w:pStyle w:val="Contents1"/>
            <w:tabs>
              <w:tab w:val="clear" w:pos="708"/>
              <w:tab w:val="right" w:pos="9060" w:leader="dot"/>
            </w:tabs>
            <w:rPr/>
          </w:pPr>
          <w:hyperlink w:anchor="_Toc710">
            <w:r>
              <w:rPr>
                <w:webHidden/>
                <w:rStyle w:val="IndexLink"/>
                <w:b/>
                <w:bCs/>
              </w:rPr>
              <w:t>VI. OBIECTIVE STRATEGICE PENTRU MANDATUL 2026–2030</w:t>
            </w:r>
            <w:r>
              <w:rPr>
                <w:webHidden/>
              </w:rPr>
              <w:fldChar w:fldCharType="begin"/>
            </w:r>
            <w:r>
              <w:rPr>
                <w:webHidden/>
              </w:rPr>
              <w:instrText xml:space="preserve">PAGEREF _Toc710 \h</w:instrText>
            </w:r>
            <w:r>
              <w:rPr>
                <w:webHidden/>
              </w:rPr>
              <w:fldChar w:fldCharType="separate"/>
            </w:r>
            <w:r>
              <w:rPr>
                <w:rStyle w:val="IndexLink"/>
              </w:rPr>
              <w:tab/>
              <w:t>5</w:t>
            </w:r>
            <w:r>
              <w:rPr>
                <w:webHidden/>
              </w:rPr>
              <w:fldChar w:fldCharType="end"/>
            </w:r>
          </w:hyperlink>
        </w:p>
        <w:p>
          <w:pPr>
            <w:pStyle w:val="Contents2"/>
            <w:tabs>
              <w:tab w:val="clear" w:pos="708"/>
              <w:tab w:val="right" w:pos="9060" w:leader="dot"/>
            </w:tabs>
            <w:rPr/>
          </w:pPr>
          <w:hyperlink w:anchor="_Toc711">
            <w:r>
              <w:rPr>
                <w:webHidden/>
              </w:rPr>
              <w:fldChar w:fldCharType="begin"/>
            </w:r>
            <w:r>
              <w:rPr>
                <w:webHidden/>
              </w:rPr>
              <w:instrText xml:space="preserve">PAGEREF _Toc711 \h</w:instrText>
            </w:r>
            <w:r>
              <w:rPr>
                <w:webHidden/>
              </w:rPr>
              <w:fldChar w:fldCharType="separate"/>
            </w:r>
            <w:r>
              <w:rPr>
                <w:webHidden/>
                <w:rStyle w:val="IndexLink"/>
              </w:rPr>
              <w:t>VI.1. Stabilitate financiară și eficiență economică</w:t>
              <w:tab/>
              <w:t>5</w:t>
            </w:r>
            <w:r>
              <w:rPr>
                <w:webHidden/>
              </w:rPr>
              <w:fldChar w:fldCharType="end"/>
            </w:r>
          </w:hyperlink>
        </w:p>
        <w:p>
          <w:pPr>
            <w:pStyle w:val="Contents2"/>
            <w:tabs>
              <w:tab w:val="clear" w:pos="708"/>
              <w:tab w:val="right" w:pos="9060" w:leader="dot"/>
            </w:tabs>
            <w:rPr/>
          </w:pPr>
          <w:hyperlink w:anchor="_Toc712">
            <w:r>
              <w:rPr>
                <w:webHidden/>
              </w:rPr>
              <w:fldChar w:fldCharType="begin"/>
            </w:r>
            <w:r>
              <w:rPr>
                <w:webHidden/>
              </w:rPr>
              <w:instrText xml:space="preserve">PAGEREF _Toc712 \h</w:instrText>
            </w:r>
            <w:r>
              <w:rPr>
                <w:webHidden/>
              </w:rPr>
              <w:fldChar w:fldCharType="separate"/>
            </w:r>
            <w:r>
              <w:rPr>
                <w:webHidden/>
                <w:rStyle w:val="IndexLink"/>
              </w:rPr>
              <w:t>VI.2. Continuitatea și calitatea serviciilor publice delegate</w:t>
              <w:tab/>
              <w:t>5</w:t>
            </w:r>
            <w:r>
              <w:rPr>
                <w:webHidden/>
              </w:rPr>
              <w:fldChar w:fldCharType="end"/>
            </w:r>
          </w:hyperlink>
        </w:p>
        <w:p>
          <w:pPr>
            <w:pStyle w:val="Contents2"/>
            <w:tabs>
              <w:tab w:val="clear" w:pos="708"/>
              <w:tab w:val="right" w:pos="9060" w:leader="dot"/>
            </w:tabs>
            <w:rPr/>
          </w:pPr>
          <w:hyperlink w:anchor="_Toc713">
            <w:r>
              <w:rPr>
                <w:webHidden/>
              </w:rPr>
              <w:fldChar w:fldCharType="begin"/>
            </w:r>
            <w:r>
              <w:rPr>
                <w:webHidden/>
              </w:rPr>
              <w:instrText xml:space="preserve">PAGEREF _Toc713 \h</w:instrText>
            </w:r>
            <w:r>
              <w:rPr>
                <w:webHidden/>
              </w:rPr>
              <w:fldChar w:fldCharType="separate"/>
            </w:r>
            <w:r>
              <w:rPr>
                <w:webHidden/>
                <w:rStyle w:val="IndexLink"/>
              </w:rPr>
              <w:t>VI.3. Investiții și modernizarea parcului tehnic</w:t>
              <w:tab/>
              <w:t>6</w:t>
            </w:r>
            <w:r>
              <w:rPr>
                <w:webHidden/>
              </w:rPr>
              <w:fldChar w:fldCharType="end"/>
            </w:r>
          </w:hyperlink>
        </w:p>
        <w:p>
          <w:pPr>
            <w:pStyle w:val="Contents2"/>
            <w:tabs>
              <w:tab w:val="clear" w:pos="708"/>
              <w:tab w:val="right" w:pos="9060" w:leader="dot"/>
            </w:tabs>
            <w:rPr/>
          </w:pPr>
          <w:hyperlink w:anchor="_Toc714">
            <w:r>
              <w:rPr>
                <w:webHidden/>
              </w:rPr>
              <w:fldChar w:fldCharType="begin"/>
            </w:r>
            <w:r>
              <w:rPr>
                <w:webHidden/>
              </w:rPr>
              <w:instrText xml:space="preserve">PAGEREF _Toc714 \h</w:instrText>
            </w:r>
            <w:r>
              <w:rPr>
                <w:webHidden/>
              </w:rPr>
              <w:fldChar w:fldCharType="separate"/>
            </w:r>
            <w:r>
              <w:rPr>
                <w:webHidden/>
                <w:rStyle w:val="IndexLink"/>
              </w:rPr>
              <w:t>VI.4. Resurse umane și formare profesională</w:t>
              <w:tab/>
              <w:t>6</w:t>
            </w:r>
            <w:r>
              <w:rPr>
                <w:webHidden/>
              </w:rPr>
              <w:fldChar w:fldCharType="end"/>
            </w:r>
          </w:hyperlink>
        </w:p>
        <w:p>
          <w:pPr>
            <w:pStyle w:val="Contents2"/>
            <w:tabs>
              <w:tab w:val="clear" w:pos="708"/>
              <w:tab w:val="right" w:pos="9060" w:leader="dot"/>
            </w:tabs>
            <w:rPr/>
          </w:pPr>
          <w:hyperlink w:anchor="_Toc715">
            <w:r>
              <w:rPr>
                <w:webHidden/>
              </w:rPr>
              <w:fldChar w:fldCharType="begin"/>
            </w:r>
            <w:r>
              <w:rPr>
                <w:webHidden/>
              </w:rPr>
              <w:instrText xml:space="preserve">PAGEREF _Toc715 \h</w:instrText>
            </w:r>
            <w:r>
              <w:rPr>
                <w:webHidden/>
              </w:rPr>
              <w:fldChar w:fldCharType="separate"/>
            </w:r>
            <w:r>
              <w:rPr>
                <w:webHidden/>
                <w:rStyle w:val="IndexLink"/>
              </w:rPr>
              <w:t>VI.5. Guvernanță corporativă și transparență</w:t>
              <w:tab/>
              <w:t>6</w:t>
            </w:r>
            <w:r>
              <w:rPr>
                <w:webHidden/>
              </w:rPr>
              <w:fldChar w:fldCharType="end"/>
            </w:r>
          </w:hyperlink>
        </w:p>
        <w:p>
          <w:pPr>
            <w:pStyle w:val="Contents1"/>
            <w:tabs>
              <w:tab w:val="clear" w:pos="708"/>
              <w:tab w:val="right" w:pos="9060" w:leader="dot"/>
            </w:tabs>
            <w:rPr/>
          </w:pPr>
          <w:hyperlink w:anchor="_Toc716">
            <w:r>
              <w:rPr>
                <w:webHidden/>
                <w:rStyle w:val="IndexLink"/>
                <w:b/>
                <w:bCs/>
              </w:rPr>
              <w:t>VII. POLITICA DE DIVIDENDE</w:t>
            </w:r>
            <w:r>
              <w:rPr>
                <w:webHidden/>
              </w:rPr>
              <w:fldChar w:fldCharType="begin"/>
            </w:r>
            <w:r>
              <w:rPr>
                <w:webHidden/>
              </w:rPr>
              <w:instrText xml:space="preserve">PAGEREF _Toc716 \h</w:instrText>
            </w:r>
            <w:r>
              <w:rPr>
                <w:webHidden/>
              </w:rPr>
              <w:fldChar w:fldCharType="separate"/>
            </w:r>
            <w:r>
              <w:rPr>
                <w:rStyle w:val="IndexLink"/>
              </w:rPr>
              <w:tab/>
              <w:t>6</w:t>
            </w:r>
            <w:r>
              <w:rPr>
                <w:webHidden/>
              </w:rPr>
              <w:fldChar w:fldCharType="end"/>
            </w:r>
          </w:hyperlink>
        </w:p>
        <w:p>
          <w:pPr>
            <w:pStyle w:val="Contents1"/>
            <w:tabs>
              <w:tab w:val="clear" w:pos="708"/>
              <w:tab w:val="right" w:pos="9060" w:leader="dot"/>
            </w:tabs>
            <w:rPr/>
          </w:pPr>
          <w:hyperlink w:anchor="_Toc717">
            <w:r>
              <w:rPr>
                <w:webHidden/>
                <w:rStyle w:val="IndexLink"/>
                <w:b/>
                <w:bCs/>
              </w:rPr>
              <w:t>VIII. POLITICA DE INVESTIȚII</w:t>
            </w:r>
            <w:r>
              <w:rPr>
                <w:webHidden/>
              </w:rPr>
              <w:fldChar w:fldCharType="begin"/>
            </w:r>
            <w:r>
              <w:rPr>
                <w:webHidden/>
              </w:rPr>
              <w:instrText xml:space="preserve">PAGEREF _Toc717 \h</w:instrText>
            </w:r>
            <w:r>
              <w:rPr>
                <w:webHidden/>
              </w:rPr>
              <w:fldChar w:fldCharType="separate"/>
            </w:r>
            <w:r>
              <w:rPr>
                <w:rStyle w:val="IndexLink"/>
              </w:rPr>
              <w:tab/>
              <w:t>6</w:t>
            </w:r>
            <w:r>
              <w:rPr>
                <w:webHidden/>
              </w:rPr>
              <w:fldChar w:fldCharType="end"/>
            </w:r>
          </w:hyperlink>
        </w:p>
        <w:p>
          <w:pPr>
            <w:pStyle w:val="Contents1"/>
            <w:tabs>
              <w:tab w:val="clear" w:pos="708"/>
              <w:tab w:val="right" w:pos="9060" w:leader="dot"/>
            </w:tabs>
            <w:rPr/>
          </w:pPr>
          <w:hyperlink w:anchor="_Toc718">
            <w:r>
              <w:rPr>
                <w:webHidden/>
                <w:rStyle w:val="IndexLink"/>
                <w:b/>
                <w:bCs/>
              </w:rPr>
              <w:t>IX. COMUNICAREA CU ORGANELE DE ADMINISTRARE</w:t>
            </w:r>
            <w:r>
              <w:rPr>
                <w:webHidden/>
              </w:rPr>
              <w:fldChar w:fldCharType="begin"/>
            </w:r>
            <w:r>
              <w:rPr>
                <w:webHidden/>
              </w:rPr>
              <w:instrText xml:space="preserve">PAGEREF _Toc718 \h</w:instrText>
            </w:r>
            <w:r>
              <w:rPr>
                <w:webHidden/>
              </w:rPr>
              <w:fldChar w:fldCharType="separate"/>
            </w:r>
            <w:r>
              <w:rPr>
                <w:rStyle w:val="IndexLink"/>
              </w:rPr>
              <w:tab/>
              <w:t>7</w:t>
            </w:r>
            <w:r>
              <w:rPr>
                <w:webHidden/>
              </w:rPr>
              <w:fldChar w:fldCharType="end"/>
            </w:r>
          </w:hyperlink>
        </w:p>
        <w:p>
          <w:pPr>
            <w:pStyle w:val="Contents1"/>
            <w:tabs>
              <w:tab w:val="clear" w:pos="708"/>
              <w:tab w:val="right" w:pos="9060" w:leader="dot"/>
            </w:tabs>
            <w:rPr/>
          </w:pPr>
          <w:hyperlink w:anchor="_Toc719">
            <w:r>
              <w:rPr>
                <w:webHidden/>
                <w:rStyle w:val="IndexLink"/>
                <w:b/>
                <w:bCs/>
              </w:rPr>
              <w:t>X. INDICATORI-CHEIE DE PERFORMANȚĂ (ICP)</w:t>
            </w:r>
            <w:r>
              <w:rPr>
                <w:webHidden/>
              </w:rPr>
              <w:fldChar w:fldCharType="begin"/>
            </w:r>
            <w:r>
              <w:rPr>
                <w:webHidden/>
              </w:rPr>
              <w:instrText xml:space="preserve">PAGEREF _Toc719 \h</w:instrText>
            </w:r>
            <w:r>
              <w:rPr>
                <w:webHidden/>
              </w:rPr>
              <w:fldChar w:fldCharType="separate"/>
            </w:r>
            <w:r>
              <w:rPr>
                <w:rStyle w:val="IndexLink"/>
              </w:rPr>
              <w:tab/>
              <w:t>7</w:t>
            </w:r>
            <w:r>
              <w:rPr>
                <w:webHidden/>
              </w:rPr>
              <w:fldChar w:fldCharType="end"/>
            </w:r>
          </w:hyperlink>
        </w:p>
        <w:p>
          <w:pPr>
            <w:pStyle w:val="Contents2"/>
            <w:tabs>
              <w:tab w:val="clear" w:pos="708"/>
              <w:tab w:val="right" w:pos="9060" w:leader="dot"/>
            </w:tabs>
            <w:rPr/>
          </w:pPr>
          <w:hyperlink w:anchor="_Toc720">
            <w:r>
              <w:rPr>
                <w:webHidden/>
              </w:rPr>
              <w:fldChar w:fldCharType="begin"/>
            </w:r>
            <w:r>
              <w:rPr>
                <w:webHidden/>
              </w:rPr>
              <w:instrText xml:space="preserve">PAGEREF _Toc720 \h</w:instrText>
            </w:r>
            <w:r>
              <w:rPr>
                <w:webHidden/>
              </w:rPr>
              <w:fldChar w:fldCharType="separate"/>
            </w:r>
            <w:r>
              <w:rPr>
                <w:webHidden/>
                <w:rStyle w:val="IndexLink"/>
              </w:rPr>
              <w:t>X.1. Structura și ponderile indicatorilor-cheie de performanță</w:t>
              <w:tab/>
              <w:t>7</w:t>
            </w:r>
            <w:r>
              <w:rPr>
                <w:webHidden/>
              </w:rPr>
              <w:fldChar w:fldCharType="end"/>
            </w:r>
          </w:hyperlink>
        </w:p>
        <w:p>
          <w:pPr>
            <w:pStyle w:val="Contents2"/>
            <w:tabs>
              <w:tab w:val="clear" w:pos="708"/>
              <w:tab w:val="right" w:pos="9060" w:leader="dot"/>
            </w:tabs>
            <w:rPr/>
          </w:pPr>
          <w:hyperlink w:anchor="_Toc721">
            <w:r>
              <w:rPr>
                <w:webHidden/>
              </w:rPr>
              <w:fldChar w:fldCharType="begin"/>
            </w:r>
            <w:r>
              <w:rPr>
                <w:webHidden/>
              </w:rPr>
              <w:instrText xml:space="preserve">PAGEREF _Toc721 \h</w:instrText>
            </w:r>
            <w:r>
              <w:rPr>
                <w:webHidden/>
              </w:rPr>
              <w:fldChar w:fldCharType="separate"/>
            </w:r>
            <w:r>
              <w:rPr>
                <w:webHidden/>
                <w:rStyle w:val="IndexLink"/>
              </w:rPr>
              <w:t>X.2. Indicatori-cheie de performanță financiari (pondere cumulată 50%)</w:t>
              <w:tab/>
              <w:t>8</w:t>
            </w:r>
            <w:r>
              <w:rPr>
                <w:webHidden/>
              </w:rPr>
              <w:fldChar w:fldCharType="end"/>
            </w:r>
          </w:hyperlink>
        </w:p>
        <w:p>
          <w:pPr>
            <w:pStyle w:val="Contents2"/>
            <w:tabs>
              <w:tab w:val="clear" w:pos="708"/>
              <w:tab w:val="right" w:pos="9060" w:leader="dot"/>
            </w:tabs>
            <w:rPr/>
          </w:pPr>
          <w:hyperlink w:anchor="_Toc722">
            <w:r>
              <w:rPr>
                <w:webHidden/>
              </w:rPr>
              <w:fldChar w:fldCharType="begin"/>
            </w:r>
            <w:r>
              <w:rPr>
                <w:webHidden/>
              </w:rPr>
              <w:instrText xml:space="preserve">PAGEREF _Toc722 \h</w:instrText>
            </w:r>
            <w:r>
              <w:rPr>
                <w:webHidden/>
              </w:rPr>
              <w:fldChar w:fldCharType="separate"/>
            </w:r>
            <w:r>
              <w:rPr>
                <w:webHidden/>
                <w:rStyle w:val="IndexLink"/>
              </w:rPr>
              <w:t>X.3. Indicatori-cheie de performanță nefinanciari (pondere cumulată 50%)</w:t>
              <w:tab/>
              <w:t>10</w:t>
            </w:r>
            <w:r>
              <w:rPr>
                <w:webHidden/>
              </w:rPr>
              <w:fldChar w:fldCharType="end"/>
            </w:r>
          </w:hyperlink>
        </w:p>
        <w:p>
          <w:pPr>
            <w:pStyle w:val="Contents2"/>
            <w:tabs>
              <w:tab w:val="clear" w:pos="708"/>
              <w:tab w:val="right" w:pos="9060" w:leader="dot"/>
            </w:tabs>
            <w:rPr/>
          </w:pPr>
          <w:hyperlink w:anchor="_Toc723">
            <w:r>
              <w:rPr>
                <w:webHidden/>
              </w:rPr>
              <w:fldChar w:fldCharType="begin"/>
            </w:r>
            <w:r>
              <w:rPr>
                <w:webHidden/>
              </w:rPr>
              <w:instrText xml:space="preserve">PAGEREF _Toc723 \h</w:instrText>
            </w:r>
            <w:r>
              <w:rPr>
                <w:webHidden/>
              </w:rPr>
              <w:fldChar w:fldCharType="separate"/>
            </w:r>
            <w:r>
              <w:rPr>
                <w:webHidden/>
                <w:rStyle w:val="IndexLink"/>
              </w:rPr>
              <w:t>X.4. Precizări metodologice privind nivelurile orientative</w:t>
              <w:tab/>
              <w:t>14</w:t>
            </w:r>
            <w:r>
              <w:rPr>
                <w:webHidden/>
              </w:rPr>
              <w:fldChar w:fldCharType="end"/>
            </w:r>
          </w:hyperlink>
        </w:p>
        <w:p>
          <w:pPr>
            <w:pStyle w:val="Contents1"/>
            <w:tabs>
              <w:tab w:val="clear" w:pos="708"/>
              <w:tab w:val="right" w:pos="9060" w:leader="dot"/>
            </w:tabs>
            <w:rPr/>
          </w:pPr>
          <w:hyperlink w:anchor="_Toc724">
            <w:r>
              <w:rPr>
                <w:webHidden/>
                <w:rStyle w:val="IndexLink"/>
                <w:b/>
                <w:bCs/>
              </w:rPr>
              <w:t>XI. ETICĂ, INTEGRITATE ȘI GUVERNANȚĂ CORPORATIVĂ</w:t>
            </w:r>
            <w:r>
              <w:rPr>
                <w:webHidden/>
              </w:rPr>
              <w:fldChar w:fldCharType="begin"/>
            </w:r>
            <w:r>
              <w:rPr>
                <w:webHidden/>
              </w:rPr>
              <w:instrText xml:space="preserve">PAGEREF _Toc724 \h</w:instrText>
            </w:r>
            <w:r>
              <w:rPr>
                <w:webHidden/>
              </w:rPr>
              <w:fldChar w:fldCharType="separate"/>
            </w:r>
            <w:r>
              <w:rPr>
                <w:rStyle w:val="IndexLink"/>
              </w:rPr>
              <w:tab/>
              <w:t>15</w:t>
            </w:r>
            <w:r>
              <w:rPr>
                <w:webHidden/>
              </w:rPr>
              <w:fldChar w:fldCharType="end"/>
            </w:r>
          </w:hyperlink>
        </w:p>
        <w:p>
          <w:pPr>
            <w:pStyle w:val="Contents1"/>
            <w:tabs>
              <w:tab w:val="clear" w:pos="708"/>
              <w:tab w:val="right" w:pos="9060" w:leader="dot"/>
            </w:tabs>
            <w:rPr/>
          </w:pPr>
          <w:hyperlink w:anchor="_Toc725">
            <w:r>
              <w:rPr>
                <w:webHidden/>
                <w:rStyle w:val="IndexLink"/>
                <w:b/>
                <w:bCs/>
              </w:rPr>
              <w:t>XII. POLITICA DE REMUNERARE</w:t>
            </w:r>
            <w:r>
              <w:rPr>
                <w:webHidden/>
              </w:rPr>
              <w:fldChar w:fldCharType="begin"/>
            </w:r>
            <w:r>
              <w:rPr>
                <w:webHidden/>
              </w:rPr>
              <w:instrText xml:space="preserve">PAGEREF _Toc725 \h</w:instrText>
            </w:r>
            <w:r>
              <w:rPr>
                <w:webHidden/>
              </w:rPr>
              <w:fldChar w:fldCharType="separate"/>
            </w:r>
            <w:r>
              <w:rPr>
                <w:rStyle w:val="IndexLink"/>
              </w:rPr>
              <w:tab/>
              <w:t>15</w:t>
            </w:r>
            <w:r>
              <w:rPr>
                <w:webHidden/>
              </w:rPr>
              <w:fldChar w:fldCharType="end"/>
            </w:r>
          </w:hyperlink>
        </w:p>
        <w:p>
          <w:pPr>
            <w:pStyle w:val="Contents1"/>
            <w:tabs>
              <w:tab w:val="clear" w:pos="708"/>
              <w:tab w:val="right" w:pos="9060" w:leader="dot"/>
            </w:tabs>
            <w:rPr/>
          </w:pPr>
          <w:hyperlink w:anchor="_Toc726">
            <w:r>
              <w:rPr>
                <w:webHidden/>
                <w:rStyle w:val="IndexLink"/>
                <w:b/>
                <w:bCs/>
              </w:rPr>
              <w:t>XIII. PROFILUL DORIT AL MEMBRILOR CONSILIULUI DE ADMINISTRAȚIE</w:t>
            </w:r>
            <w:r>
              <w:rPr>
                <w:webHidden/>
              </w:rPr>
              <w:fldChar w:fldCharType="begin"/>
            </w:r>
            <w:r>
              <w:rPr>
                <w:webHidden/>
              </w:rPr>
              <w:instrText xml:space="preserve">PAGEREF _Toc726 \h</w:instrText>
            </w:r>
            <w:r>
              <w:rPr>
                <w:webHidden/>
              </w:rPr>
              <w:fldChar w:fldCharType="separate"/>
            </w:r>
            <w:r>
              <w:rPr>
                <w:rStyle w:val="IndexLink"/>
              </w:rPr>
              <w:tab/>
              <w:t>15</w:t>
            </w:r>
            <w:r>
              <w:rPr>
                <w:webHidden/>
              </w:rPr>
              <w:fldChar w:fldCharType="end"/>
            </w:r>
          </w:hyperlink>
        </w:p>
        <w:p>
          <w:pPr>
            <w:pStyle w:val="Contents1"/>
            <w:tabs>
              <w:tab w:val="clear" w:pos="708"/>
              <w:tab w:val="right" w:pos="9060" w:leader="dot"/>
            </w:tabs>
            <w:rPr/>
          </w:pPr>
          <w:hyperlink w:anchor="_Toc727">
            <w:r>
              <w:rPr>
                <w:webHidden/>
                <w:rStyle w:val="IndexLink"/>
                <w:b/>
                <w:bCs/>
              </w:rPr>
              <w:t>XIV. DECLARAȚIA DE INTENȚIE – CERINȚE MINIMALE</w:t>
            </w:r>
            <w:r>
              <w:rPr>
                <w:webHidden/>
              </w:rPr>
              <w:fldChar w:fldCharType="begin"/>
            </w:r>
            <w:r>
              <w:rPr>
                <w:webHidden/>
              </w:rPr>
              <w:instrText xml:space="preserve">PAGEREF _Toc727 \h</w:instrText>
            </w:r>
            <w:r>
              <w:rPr>
                <w:webHidden/>
              </w:rPr>
              <w:fldChar w:fldCharType="separate"/>
            </w:r>
            <w:r>
              <w:rPr>
                <w:rStyle w:val="IndexLink"/>
              </w:rPr>
              <w:tab/>
              <w:t>16</w:t>
            </w:r>
            <w:r>
              <w:rPr>
                <w:webHidden/>
              </w:rPr>
              <w:fldChar w:fldCharType="end"/>
            </w:r>
          </w:hyperlink>
        </w:p>
        <w:p>
          <w:pPr>
            <w:pStyle w:val="Contents1"/>
            <w:tabs>
              <w:tab w:val="clear" w:pos="708"/>
              <w:tab w:val="right" w:pos="9060" w:leader="dot"/>
            </w:tabs>
            <w:rPr/>
          </w:pPr>
          <w:hyperlink w:anchor="_Toc728">
            <w:r>
              <w:rPr>
                <w:webHidden/>
                <w:rStyle w:val="IndexLink"/>
                <w:b/>
                <w:bCs/>
              </w:rPr>
              <w:t>XV. DISPOZIȚII FINALE</w:t>
            </w:r>
            <w:r>
              <w:rPr>
                <w:webHidden/>
              </w:rPr>
              <w:fldChar w:fldCharType="begin"/>
            </w:r>
            <w:r>
              <w:rPr>
                <w:webHidden/>
              </w:rPr>
              <w:instrText xml:space="preserve">PAGEREF _Toc728 \h</w:instrText>
            </w:r>
            <w:r>
              <w:rPr>
                <w:webHidden/>
              </w:rPr>
              <w:fldChar w:fldCharType="separate"/>
            </w:r>
            <w:r>
              <w:rPr>
                <w:rStyle w:val="IndexLink"/>
              </w:rPr>
              <w:tab/>
              <w:t>16</w:t>
            </w:r>
            <w:r>
              <w:rPr>
                <w:webHidden/>
              </w:rPr>
              <w:fldChar w:fldCharType="end"/>
            </w:r>
          </w:hyperlink>
          <w:r>
            <w:rPr>
              <w:rStyle w:val="IndexLink"/>
            </w:rPr>
            <w:fldChar w:fldCharType="end"/>
          </w:r>
        </w:p>
      </w:sdtContent>
    </w:sdt>
    <w:p>
      <w:pPr>
        <w:pStyle w:val="Normal"/>
        <w:widowControl/>
        <w:bidi w:val="0"/>
        <w:spacing w:before="0" w:after="0"/>
        <w:jc w:val="left"/>
        <w:rPr>
          <w:sz w:val="24"/>
          <w:szCs w:val="24"/>
          <w:lang w:val="ro-RO" w:eastAsia="ro-RO"/>
        </w:rPr>
      </w:pPr>
      <w:r>
        <w:rPr>
          <w:sz w:val="24"/>
          <w:szCs w:val="24"/>
          <w:lang w:val="ro-RO" w:eastAsia="ro-RO"/>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sz w:val="20"/>
          <w:szCs w:val="20"/>
        </w:rPr>
      </w:pPr>
      <w:r>
        <w:rPr>
          <w:sz w:val="20"/>
          <w:szCs w:val="20"/>
        </w:rPr>
      </w:r>
    </w:p>
    <w:p>
      <w:pPr>
        <w:pStyle w:val="Heading1"/>
        <w:spacing w:beforeAutospacing="0" w:before="0" w:afterAutospacing="0" w:after="0"/>
        <w:contextualSpacing/>
        <w:jc w:val="both"/>
        <w:rPr>
          <w:sz w:val="20"/>
          <w:szCs w:val="20"/>
        </w:rPr>
      </w:pPr>
      <w:bookmarkStart w:id="0" w:name="_Toc701"/>
      <w:r>
        <w:rPr>
          <w:sz w:val="20"/>
          <w:szCs w:val="20"/>
        </w:rPr>
        <w:t>I. INTRODUCERE</w:t>
      </w:r>
      <w:bookmarkEnd w:id="0"/>
    </w:p>
    <w:p>
      <w:pPr>
        <w:pStyle w:val="Normal"/>
        <w:rPr/>
      </w:pPr>
      <w:r>
        <w:rPr/>
      </w:r>
    </w:p>
    <w:p>
      <w:pPr>
        <w:pStyle w:val="Normal"/>
        <w:spacing w:before="0" w:after="0"/>
        <w:ind w:firstLine="708"/>
        <w:contextualSpacing/>
        <w:jc w:val="both"/>
        <w:rPr>
          <w:sz w:val="20"/>
          <w:szCs w:val="20"/>
        </w:rPr>
      </w:pPr>
      <w:r>
        <w:rPr>
          <w:sz w:val="20"/>
          <w:szCs w:val="20"/>
        </w:rPr>
        <w:t>Prezenta Scrisoare de Așteptări este elaborată în temeiul prevederilor Ordonanței de urgență a Guvernului nr. 109/2011 privind guvernanța corporativă a întreprinderilor publice, cu modificările și completările ulterioare, inclusiv cele aduse prin Legea nr. 158/2025, ale Normelor metodologice aprobate prin Hotărârea Guvernului nr. 639/2023, cu modificările și completările aduse prin Hotărârea Guvernului nr. 1.053/2025, precum și ale Ordinului Președintelui A.M.E.P.I.P. nr. 651/24.12.2024.</w:t>
      </w:r>
    </w:p>
    <w:p>
      <w:pPr>
        <w:pStyle w:val="Normal"/>
        <w:spacing w:before="0" w:after="0"/>
        <w:ind w:firstLine="708"/>
        <w:contextualSpacing/>
        <w:jc w:val="both"/>
        <w:rPr>
          <w:sz w:val="20"/>
          <w:szCs w:val="20"/>
        </w:rPr>
      </w:pPr>
      <w:r>
        <w:rPr>
          <w:sz w:val="20"/>
          <w:szCs w:val="20"/>
        </w:rPr>
        <w:t>Documentul face parte din setul de documente obligatorii cu care începe Procesul de selecție a membrilor Consiliului de Administrație al S.C. SERVICII COMUNITARE DE UTILITĂȚI PUBLICE PUCIOASA SCUP S.R.L. și constituie parte a Componentei inițiale a Planului de selecție, conform art. 1 alin. (1) din Anexa nr. 1b la H.G. nr. 639/2023.</w:t>
      </w:r>
    </w:p>
    <w:p>
      <w:pPr>
        <w:pStyle w:val="Normal"/>
        <w:spacing w:before="0" w:after="0"/>
        <w:ind w:firstLine="708"/>
        <w:contextualSpacing/>
        <w:jc w:val="both"/>
        <w:rPr>
          <w:sz w:val="20"/>
          <w:szCs w:val="20"/>
        </w:rPr>
      </w:pPr>
      <w:r>
        <w:rPr>
          <w:sz w:val="20"/>
          <w:szCs w:val="20"/>
        </w:rPr>
        <w:t>În conformitate cu art. 2 alin. (3) din Anexa nr. 1b la H.G. nr. 639/2023, prezenta Scrisoare de Așteptări descrie rezultatele generale preconizate, cu indicarea unor valori orientative recomandate organelor de administrare și conducere ale societăţii, și recomandă o serie de indicatori de performanță pentru întreprinderea publică. Potrivit art. 3 din același act normativ, documentul acoperă întreaga perioadă de mandat, respectiv 4 ani (2026–2030).</w:t>
      </w:r>
    </w:p>
    <w:p>
      <w:pPr>
        <w:pStyle w:val="Normal"/>
        <w:spacing w:before="0" w:after="0"/>
        <w:ind w:firstLine="708"/>
        <w:contextualSpacing/>
        <w:jc w:val="both"/>
        <w:rPr>
          <w:sz w:val="20"/>
          <w:szCs w:val="20"/>
        </w:rPr>
      </w:pPr>
      <w:r>
        <w:rPr>
          <w:sz w:val="20"/>
          <w:szCs w:val="20"/>
        </w:rPr>
        <w:t>Prezenta versiune a fost revizuită ca urmare a Adresei A.M.E.P.I.P. nr. 5513/24.03.2026, prin care Agenția a solicitat ca, pentru indicatorii financiari și nefinanciari, să fie indicate ținte anuale sub forma unor valori orientative de realizare pentru fiecare an al perioadei 2026–2030, iar pentru indicatorii stabiliți suplimentar față de cei prevăzuți în Anexa nr. 2 la H.G. nr. 639/2023 să fie menționate formula de calcul, o minimă detaliere și unitatea de măsură.</w:t>
      </w:r>
    </w:p>
    <w:p>
      <w:pPr>
        <w:pStyle w:val="Normal"/>
        <w:spacing w:before="0" w:after="0"/>
        <w:ind w:firstLine="708"/>
        <w:contextualSpacing/>
        <w:jc w:val="both"/>
        <w:rPr>
          <w:sz w:val="20"/>
          <w:szCs w:val="20"/>
        </w:rPr>
      </w:pPr>
      <w:r>
        <w:rPr>
          <w:sz w:val="20"/>
          <w:szCs w:val="20"/>
        </w:rPr>
        <w:t>Viziunea și obiectivele cuprinse în prezentul document stau la baza negocierii componentei de management a Planului de administrare și a indicatorilor-cheie de performanță care vor fi înscriși ca anexă la Contractele de mandat, și constituie ghidul candidaților în elaborarea Declarației de intenție.</w:t>
      </w:r>
    </w:p>
    <w:p>
      <w:pPr>
        <w:pStyle w:val="Normal"/>
        <w:spacing w:before="0" w:after="0"/>
        <w:ind w:firstLine="708"/>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1" w:name="_Toc702"/>
      <w:r>
        <w:rPr>
          <w:sz w:val="20"/>
          <w:szCs w:val="20"/>
        </w:rPr>
        <w:t>II. PREZENTAREA SOCIETĂȚII</w:t>
      </w:r>
      <w:bookmarkEnd w:id="1"/>
    </w:p>
    <w:p>
      <w:pPr>
        <w:pStyle w:val="Normal"/>
        <w:rPr/>
      </w:pPr>
      <w:r>
        <w:rPr/>
      </w:r>
    </w:p>
    <w:p>
      <w:pPr>
        <w:pStyle w:val="Heading2"/>
        <w:spacing w:before="0" w:after="0"/>
        <w:contextualSpacing/>
        <w:jc w:val="both"/>
        <w:rPr>
          <w:rFonts w:ascii="Times New Roman" w:hAnsi="Times New Roman" w:cs="Times New Roman"/>
          <w:b/>
          <w:bCs/>
          <w:color w:val="auto"/>
          <w:sz w:val="20"/>
          <w:szCs w:val="20"/>
        </w:rPr>
      </w:pPr>
      <w:bookmarkStart w:id="2" w:name="_Toc703"/>
      <w:r>
        <w:rPr>
          <w:rFonts w:cs="Times New Roman" w:ascii="Times New Roman" w:hAnsi="Times New Roman"/>
          <w:b/>
          <w:bCs/>
          <w:color w:val="auto"/>
          <w:sz w:val="20"/>
          <w:szCs w:val="20"/>
        </w:rPr>
        <w:t>II.1. Date de identificare</w:t>
      </w:r>
      <w:bookmarkEnd w:id="2"/>
    </w:p>
    <w:p>
      <w:pPr>
        <w:pStyle w:val="Normal"/>
        <w:rPr/>
      </w:pPr>
      <w:r>
        <w:rPr/>
      </w:r>
    </w:p>
    <w:tbl>
      <w:tblPr>
        <w:tblW w:w="9360" w:type="dxa"/>
        <w:jc w:val="left"/>
        <w:tblInd w:w="0" w:type="dxa"/>
        <w:tblLayout w:type="fixed"/>
        <w:tblCellMar>
          <w:top w:w="60" w:type="dxa"/>
          <w:left w:w="70" w:type="dxa"/>
          <w:bottom w:w="60" w:type="dxa"/>
          <w:right w:w="70" w:type="dxa"/>
        </w:tblCellMar>
        <w:tblLook w:firstRow="1" w:noVBand="1" w:lastRow="0" w:firstColumn="1" w:lastColumn="0" w:noHBand="0" w:val="04a0"/>
      </w:tblPr>
      <w:tblGrid>
        <w:gridCol w:w="3200"/>
        <w:gridCol w:w="6159"/>
      </w:tblGrid>
      <w:tr>
        <w:trPr>
          <w:tblHeader w:val="true"/>
        </w:trPr>
        <w:tc>
          <w:tcPr>
            <w:tcW w:w="3200"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0" w:after="0"/>
              <w:contextualSpacing/>
              <w:jc w:val="center"/>
              <w:rPr>
                <w:sz w:val="20"/>
                <w:szCs w:val="20"/>
              </w:rPr>
            </w:pPr>
            <w:r>
              <w:rPr>
                <w:b/>
                <w:bCs/>
                <w:sz w:val="20"/>
                <w:szCs w:val="20"/>
              </w:rPr>
              <w:t>Element de identificare</w:t>
            </w:r>
          </w:p>
        </w:tc>
        <w:tc>
          <w:tcPr>
            <w:tcW w:w="6159"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0" w:after="0"/>
              <w:contextualSpacing/>
              <w:jc w:val="center"/>
              <w:rPr>
                <w:sz w:val="20"/>
                <w:szCs w:val="20"/>
              </w:rPr>
            </w:pPr>
            <w:r>
              <w:rPr>
                <w:b/>
                <w:bCs/>
                <w:sz w:val="20"/>
                <w:szCs w:val="20"/>
              </w:rPr>
              <w:t>Conținut</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Denumire</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S.C. SERVICII COMUNITARE DE UTILITĂȚI PUBLICE PUCIOASA SCUP S.R.L.</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Formă juridică</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Societate cu răspundere limitată – capital integral public</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C.U.I. / Nr. Reg. Com.</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RO 30531586 / J15/537/09.08.2012</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Capital social</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886.500 lei – 88.650 părți sociale × 10 lei/parte, integral vărsat</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Asociat unic</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Consiliul Local al Orașului Pucioasa (100%)</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Autoritate publică tutelară</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U.A.T. Orașul Pucioasa</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Obiect principal de activitate</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CAEN 8123 – Alte activități de curățenie</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Sistem de administrare</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Unitar – Consiliu de Administrație format din 3 membri, mandat de 4 ani</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Număr de salariați</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31 salariați la 31.12.2025</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Încadrare O.U.G. nr. 109/2011</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Întreprindere publică – art. 2 pct. 2 lit. b)</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Sediu social</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Str. Fântânilor nr. 7, Orașul Pucioasa, Județul Dâmbovița</w:t>
            </w:r>
          </w:p>
        </w:tc>
      </w:tr>
      <w:tr>
        <w:trPr/>
        <w:tc>
          <w:tcPr>
            <w:tcW w:w="32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Sediu operațional</w:t>
            </w:r>
          </w:p>
        </w:tc>
        <w:tc>
          <w:tcPr>
            <w:tcW w:w="615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Str. Morilor nr. 7, Orașul Pucioasa, Județul Dâmbovița</w:t>
            </w:r>
          </w:p>
        </w:tc>
      </w:tr>
    </w:tbl>
    <w:p>
      <w:pPr>
        <w:pStyle w:val="Heading2"/>
        <w:spacing w:before="0" w:after="0"/>
        <w:contextualSpacing/>
        <w:jc w:val="both"/>
        <w:rPr>
          <w:rFonts w:ascii="Times New Roman" w:hAnsi="Times New Roman" w:cs="Times New Roman"/>
          <w:b/>
          <w:bCs/>
          <w:color w:val="auto"/>
          <w:sz w:val="20"/>
          <w:szCs w:val="20"/>
        </w:rPr>
      </w:pPr>
      <w:r>
        <w:rPr>
          <w:rFonts w:cs="Times New Roman" w:ascii="Times New Roman" w:hAnsi="Times New Roman"/>
          <w:b/>
          <w:bCs/>
          <w:color w:val="auto"/>
          <w:sz w:val="20"/>
          <w:szCs w:val="20"/>
        </w:rPr>
      </w:r>
    </w:p>
    <w:p>
      <w:pPr>
        <w:pStyle w:val="Heading2"/>
        <w:spacing w:before="0" w:after="0"/>
        <w:contextualSpacing/>
        <w:jc w:val="both"/>
        <w:rPr>
          <w:rFonts w:ascii="Times New Roman" w:hAnsi="Times New Roman" w:cs="Times New Roman"/>
          <w:color w:val="auto"/>
          <w:sz w:val="20"/>
          <w:szCs w:val="20"/>
        </w:rPr>
      </w:pPr>
      <w:bookmarkStart w:id="3" w:name="_Toc704"/>
      <w:r>
        <w:rPr>
          <w:rFonts w:cs="Times New Roman" w:ascii="Times New Roman" w:hAnsi="Times New Roman"/>
          <w:b/>
          <w:bCs/>
          <w:color w:val="auto"/>
          <w:sz w:val="20"/>
          <w:szCs w:val="20"/>
        </w:rPr>
        <w:t>II.2. Obiectul de activitate</w:t>
      </w:r>
      <w:bookmarkEnd w:id="3"/>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 xml:space="preserve">Domeniul principal de activitate este 812 – Activități de curățenie, obiectul principal fiind CAEN 8123 – Alte activități de curățenie. </w:t>
      </w:r>
    </w:p>
    <w:p>
      <w:pPr>
        <w:pStyle w:val="Normal"/>
        <w:spacing w:before="0" w:after="0"/>
        <w:ind w:firstLine="708"/>
        <w:contextualSpacing/>
        <w:jc w:val="both"/>
        <w:rPr>
          <w:sz w:val="20"/>
          <w:szCs w:val="20"/>
        </w:rPr>
      </w:pPr>
      <w:r>
        <w:rPr>
          <w:sz w:val="20"/>
          <w:szCs w:val="20"/>
        </w:rPr>
        <w:t>Societatea desfășoară, în subsidiar, următoarele activități autorizate: 3811 – Colectarea deșeurilor nepericuloase; 3812 – Colectarea deșeurilor periculoase; 3821 – Recuperarea materialelor reciclabile; 4941 – Transporturi rutiere de mărfuri; 4321 – Lucrări de instalații electrice; 4324 – Alte lucrări de instalații pentru construcții.</w:t>
      </w:r>
    </w:p>
    <w:p>
      <w:pPr>
        <w:pStyle w:val="Heading2"/>
        <w:spacing w:before="0" w:after="0"/>
        <w:contextualSpacing/>
        <w:jc w:val="both"/>
        <w:rPr>
          <w:rFonts w:ascii="Times New Roman" w:hAnsi="Times New Roman" w:cs="Times New Roman"/>
          <w:b/>
          <w:bCs/>
          <w:color w:val="auto"/>
          <w:sz w:val="20"/>
          <w:szCs w:val="20"/>
        </w:rPr>
      </w:pPr>
      <w:r>
        <w:rPr>
          <w:rFonts w:cs="Times New Roman" w:ascii="Times New Roman" w:hAnsi="Times New Roman"/>
          <w:b/>
          <w:bCs/>
          <w:color w:val="auto"/>
          <w:sz w:val="20"/>
          <w:szCs w:val="20"/>
        </w:rPr>
      </w:r>
    </w:p>
    <w:p>
      <w:pPr>
        <w:pStyle w:val="Heading2"/>
        <w:spacing w:before="0" w:after="0"/>
        <w:contextualSpacing/>
        <w:jc w:val="both"/>
        <w:rPr>
          <w:rFonts w:ascii="Times New Roman" w:hAnsi="Times New Roman" w:cs="Times New Roman"/>
          <w:color w:val="auto"/>
          <w:sz w:val="20"/>
          <w:szCs w:val="20"/>
        </w:rPr>
      </w:pPr>
      <w:bookmarkStart w:id="4" w:name="_Toc705"/>
      <w:r>
        <w:rPr>
          <w:rFonts w:cs="Times New Roman" w:ascii="Times New Roman" w:hAnsi="Times New Roman"/>
          <w:b/>
          <w:bCs/>
          <w:color w:val="auto"/>
          <w:sz w:val="20"/>
          <w:szCs w:val="20"/>
        </w:rPr>
        <w:t>II.3. Încadrarea societății după scop</w:t>
      </w:r>
      <w:bookmarkEnd w:id="4"/>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Societatea se încadrează în categoria întreprinderilor publice cu scop de serviciu public, prestând servicii comunitare de utilități publice în regim de gestiune delegată directă, în baza Contractelor încheiate cu Asociatul Unic – Consiliul Local Pucioasa. Deși societatea urmărește acoperirea costurilor prin tarife și obținerea unui nivel rezonabil de profit pentru susținerea investițiilor, prioritatea sa esențială rămâne asigurarea serviciului public la standardele de calitate și continuitate impuse de legislație și de Contractele de delegare.</w:t>
      </w:r>
    </w:p>
    <w:p>
      <w:pPr>
        <w:pStyle w:val="Heading2"/>
        <w:spacing w:before="0" w:after="0"/>
        <w:contextualSpacing/>
        <w:jc w:val="both"/>
        <w:rPr>
          <w:rFonts w:ascii="Times New Roman" w:hAnsi="Times New Roman" w:cs="Times New Roman"/>
          <w:b/>
          <w:bCs/>
          <w:color w:val="auto"/>
          <w:sz w:val="20"/>
          <w:szCs w:val="20"/>
        </w:rPr>
      </w:pPr>
      <w:r>
        <w:rPr>
          <w:rFonts w:cs="Times New Roman" w:ascii="Times New Roman" w:hAnsi="Times New Roman"/>
          <w:b/>
          <w:bCs/>
          <w:color w:val="auto"/>
          <w:sz w:val="20"/>
          <w:szCs w:val="20"/>
        </w:rPr>
      </w:r>
    </w:p>
    <w:p>
      <w:pPr>
        <w:pStyle w:val="Heading2"/>
        <w:spacing w:before="0" w:after="0"/>
        <w:contextualSpacing/>
        <w:jc w:val="both"/>
        <w:rPr>
          <w:rFonts w:ascii="Times New Roman" w:hAnsi="Times New Roman" w:cs="Times New Roman"/>
          <w:b/>
          <w:bCs/>
          <w:color w:val="auto"/>
          <w:sz w:val="20"/>
          <w:szCs w:val="20"/>
        </w:rPr>
      </w:pPr>
      <w:bookmarkStart w:id="5" w:name="_Toc706"/>
      <w:r>
        <w:rPr>
          <w:rFonts w:cs="Times New Roman" w:ascii="Times New Roman" w:hAnsi="Times New Roman"/>
          <w:b/>
          <w:bCs/>
          <w:color w:val="auto"/>
          <w:sz w:val="20"/>
          <w:szCs w:val="20"/>
        </w:rPr>
        <w:t>II.4. Servicii publice delegate</w:t>
      </w:r>
      <w:bookmarkEnd w:id="5"/>
    </w:p>
    <w:p>
      <w:pPr>
        <w:pStyle w:val="Normal"/>
        <w:rPr/>
      </w:pPr>
      <w:r>
        <w:rPr/>
      </w:r>
    </w:p>
    <w:tbl>
      <w:tblPr>
        <w:tblW w:w="5000" w:type="pct"/>
        <w:jc w:val="left"/>
        <w:tblInd w:w="0" w:type="dxa"/>
        <w:tblLayout w:type="fixed"/>
        <w:tblCellMar>
          <w:top w:w="60" w:type="dxa"/>
          <w:left w:w="70" w:type="dxa"/>
          <w:bottom w:w="60" w:type="dxa"/>
          <w:right w:w="70" w:type="dxa"/>
        </w:tblCellMar>
        <w:tblLook w:firstRow="1" w:noVBand="1" w:lastRow="0" w:firstColumn="1" w:lastColumn="0" w:noHBand="0" w:val="04a0"/>
      </w:tblPr>
      <w:tblGrid>
        <w:gridCol w:w="2162"/>
        <w:gridCol w:w="4015"/>
        <w:gridCol w:w="3460"/>
      </w:tblGrid>
      <w:tr>
        <w:trPr>
          <w:tblHeader w:val="true"/>
        </w:trPr>
        <w:tc>
          <w:tcPr>
            <w:tcW w:w="2162"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0" w:after="0"/>
              <w:contextualSpacing/>
              <w:jc w:val="center"/>
              <w:rPr>
                <w:sz w:val="20"/>
                <w:szCs w:val="20"/>
              </w:rPr>
            </w:pPr>
            <w:r>
              <w:rPr>
                <w:b/>
                <w:bCs/>
                <w:sz w:val="20"/>
                <w:szCs w:val="20"/>
              </w:rPr>
              <w:t>Serviciu delegat</w:t>
            </w:r>
          </w:p>
        </w:tc>
        <w:tc>
          <w:tcPr>
            <w:tcW w:w="4015"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0" w:after="0"/>
              <w:contextualSpacing/>
              <w:jc w:val="center"/>
              <w:rPr>
                <w:sz w:val="20"/>
                <w:szCs w:val="20"/>
              </w:rPr>
            </w:pPr>
            <w:r>
              <w:rPr>
                <w:b/>
                <w:bCs/>
                <w:sz w:val="20"/>
                <w:szCs w:val="20"/>
              </w:rPr>
              <w:t>Contract de delegare</w:t>
            </w:r>
          </w:p>
        </w:tc>
        <w:tc>
          <w:tcPr>
            <w:tcW w:w="3460"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0" w:after="0"/>
              <w:contextualSpacing/>
              <w:jc w:val="center"/>
              <w:rPr>
                <w:sz w:val="20"/>
                <w:szCs w:val="20"/>
              </w:rPr>
            </w:pPr>
            <w:r>
              <w:rPr>
                <w:b/>
                <w:bCs/>
                <w:sz w:val="20"/>
                <w:szCs w:val="20"/>
              </w:rPr>
              <w:t>Licențe și autorizații</w:t>
            </w:r>
          </w:p>
        </w:tc>
      </w:tr>
      <w:tr>
        <w:trPr/>
        <w:tc>
          <w:tcPr>
            <w:tcW w:w="216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Salubrizare stradală</w:t>
            </w:r>
          </w:p>
        </w:tc>
        <w:tc>
          <w:tcPr>
            <w:tcW w:w="401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Nr. 21500/768 din 03.10.2022</w:t>
            </w:r>
          </w:p>
          <w:p>
            <w:pPr>
              <w:pStyle w:val="Normal"/>
              <w:widowControl w:val="false"/>
              <w:spacing w:before="0" w:after="0"/>
              <w:contextualSpacing/>
              <w:jc w:val="both"/>
              <w:rPr>
                <w:sz w:val="20"/>
                <w:szCs w:val="20"/>
              </w:rPr>
            </w:pPr>
            <w:r>
              <w:rPr>
                <w:sz w:val="20"/>
                <w:szCs w:val="20"/>
              </w:rPr>
              <w:t>(H.C.L. nr. 157/28.09.2022)</w:t>
            </w:r>
          </w:p>
          <w:p>
            <w:pPr>
              <w:pStyle w:val="Normal"/>
              <w:widowControl w:val="false"/>
              <w:spacing w:before="0" w:after="0"/>
              <w:contextualSpacing/>
              <w:jc w:val="both"/>
              <w:rPr>
                <w:sz w:val="20"/>
                <w:szCs w:val="20"/>
              </w:rPr>
            </w:pPr>
            <w:r>
              <w:rPr>
                <w:sz w:val="20"/>
                <w:szCs w:val="20"/>
              </w:rPr>
            </w:r>
          </w:p>
          <w:p>
            <w:pPr>
              <w:pStyle w:val="Normal"/>
              <w:widowControl w:val="false"/>
              <w:spacing w:before="0" w:after="0"/>
              <w:contextualSpacing/>
              <w:jc w:val="both"/>
              <w:rPr>
                <w:sz w:val="20"/>
                <w:szCs w:val="20"/>
              </w:rPr>
            </w:pPr>
            <w:r>
              <w:rPr>
                <w:sz w:val="20"/>
                <w:szCs w:val="20"/>
              </w:rPr>
              <w:t>Măturatul, spălatul, stropitul și întreținerea căilor publice; curățarea și transportul zăpezii; menținerea în funcțiune a căilor publice pe timp de polei sau îngheț</w:t>
            </w:r>
          </w:p>
        </w:tc>
        <w:tc>
          <w:tcPr>
            <w:tcW w:w="346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Licențe A.N.R.S.C. nr. 6085 și 6086/24.11.2022, valabile până la 01.11.2027</w:t>
            </w:r>
          </w:p>
        </w:tc>
      </w:tr>
      <w:tr>
        <w:trPr/>
        <w:tc>
          <w:tcPr>
            <w:tcW w:w="216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Iluminat public</w:t>
            </w:r>
          </w:p>
        </w:tc>
        <w:tc>
          <w:tcPr>
            <w:tcW w:w="401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Nr. 21498/767 din 03.10.2022</w:t>
            </w:r>
          </w:p>
          <w:p>
            <w:pPr>
              <w:pStyle w:val="Normal"/>
              <w:widowControl w:val="false"/>
              <w:spacing w:before="0" w:after="0"/>
              <w:contextualSpacing/>
              <w:jc w:val="both"/>
              <w:rPr>
                <w:sz w:val="20"/>
                <w:szCs w:val="20"/>
              </w:rPr>
            </w:pPr>
            <w:r>
              <w:rPr>
                <w:sz w:val="20"/>
                <w:szCs w:val="20"/>
              </w:rPr>
              <w:t>(H.C.L. nr. 153/28.09.2022)</w:t>
            </w:r>
          </w:p>
          <w:p>
            <w:pPr>
              <w:pStyle w:val="Normal"/>
              <w:widowControl w:val="false"/>
              <w:spacing w:before="0" w:after="0"/>
              <w:contextualSpacing/>
              <w:jc w:val="both"/>
              <w:rPr>
                <w:sz w:val="20"/>
                <w:szCs w:val="20"/>
              </w:rPr>
            </w:pPr>
            <w:r>
              <w:rPr>
                <w:sz w:val="20"/>
                <w:szCs w:val="20"/>
              </w:rPr>
            </w:r>
          </w:p>
          <w:p>
            <w:pPr>
              <w:pStyle w:val="Normal"/>
              <w:widowControl w:val="false"/>
              <w:spacing w:before="0" w:after="0"/>
              <w:contextualSpacing/>
              <w:jc w:val="both"/>
              <w:rPr>
                <w:sz w:val="20"/>
                <w:szCs w:val="20"/>
              </w:rPr>
            </w:pPr>
            <w:r>
              <w:rPr>
                <w:sz w:val="20"/>
                <w:szCs w:val="20"/>
              </w:rPr>
              <w:t>Administrarea, exploatarea, întreținerea, reabilitarea și extinderea sistemului de iluminat public al orașului</w:t>
            </w:r>
          </w:p>
        </w:tc>
        <w:tc>
          <w:tcPr>
            <w:tcW w:w="346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Licență A.N.R.S.C. nr. 6042/24.10.2022,</w:t>
            </w:r>
          </w:p>
          <w:p>
            <w:pPr>
              <w:pStyle w:val="Normal"/>
              <w:widowControl w:val="false"/>
              <w:spacing w:before="0" w:after="0"/>
              <w:contextualSpacing/>
              <w:jc w:val="both"/>
              <w:rPr>
                <w:sz w:val="20"/>
                <w:szCs w:val="20"/>
              </w:rPr>
            </w:pPr>
            <w:r>
              <w:rPr>
                <w:sz w:val="20"/>
                <w:szCs w:val="20"/>
              </w:rPr>
              <w:t>valabilă până la 02.11.2027</w:t>
            </w:r>
          </w:p>
          <w:p>
            <w:pPr>
              <w:pStyle w:val="Normal"/>
              <w:widowControl w:val="false"/>
              <w:spacing w:before="0" w:after="0"/>
              <w:contextualSpacing/>
              <w:jc w:val="both"/>
              <w:rPr>
                <w:sz w:val="20"/>
                <w:szCs w:val="20"/>
              </w:rPr>
            </w:pPr>
            <w:r>
              <w:rPr>
                <w:sz w:val="20"/>
                <w:szCs w:val="20"/>
              </w:rPr>
              <w:t>Atestat A.N.R.E. nr. 13051/12.02.2018</w:t>
            </w:r>
          </w:p>
        </w:tc>
      </w:tr>
      <w:tr>
        <w:trPr/>
        <w:tc>
          <w:tcPr>
            <w:tcW w:w="216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Dezinsecție, dezinfecție, deratizare (DDD)</w:t>
            </w:r>
          </w:p>
        </w:tc>
        <w:tc>
          <w:tcPr>
            <w:tcW w:w="401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Nr. 7642/244 din 31.03.2023</w:t>
            </w:r>
          </w:p>
          <w:p>
            <w:pPr>
              <w:pStyle w:val="Normal"/>
              <w:widowControl w:val="false"/>
              <w:spacing w:before="0" w:after="0"/>
              <w:contextualSpacing/>
              <w:jc w:val="both"/>
              <w:rPr>
                <w:sz w:val="20"/>
                <w:szCs w:val="20"/>
              </w:rPr>
            </w:pPr>
            <w:r>
              <w:rPr>
                <w:sz w:val="20"/>
                <w:szCs w:val="20"/>
              </w:rPr>
              <w:t>(H.C.L. nr. 54/30.03.2023)</w:t>
            </w:r>
          </w:p>
        </w:tc>
        <w:tc>
          <w:tcPr>
            <w:tcW w:w="346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both"/>
              <w:rPr>
                <w:sz w:val="20"/>
                <w:szCs w:val="20"/>
              </w:rPr>
            </w:pPr>
            <w:r>
              <w:rPr>
                <w:sz w:val="20"/>
                <w:szCs w:val="20"/>
              </w:rPr>
              <w:t>Licență A.N.R.S.C. nr. 6312/22.05.2023,</w:t>
            </w:r>
          </w:p>
          <w:p>
            <w:pPr>
              <w:pStyle w:val="Normal"/>
              <w:widowControl w:val="false"/>
              <w:spacing w:before="0" w:after="0"/>
              <w:contextualSpacing/>
              <w:jc w:val="both"/>
              <w:rPr>
                <w:sz w:val="20"/>
                <w:szCs w:val="20"/>
              </w:rPr>
            </w:pPr>
            <w:r>
              <w:rPr>
                <w:sz w:val="20"/>
                <w:szCs w:val="20"/>
              </w:rPr>
              <w:t>valabilă până la 26.04.2028</w:t>
            </w:r>
          </w:p>
          <w:p>
            <w:pPr>
              <w:pStyle w:val="Normal"/>
              <w:widowControl w:val="false"/>
              <w:spacing w:before="0" w:after="0"/>
              <w:contextualSpacing/>
              <w:jc w:val="both"/>
              <w:rPr>
                <w:sz w:val="20"/>
                <w:szCs w:val="20"/>
              </w:rPr>
            </w:pPr>
            <w:r>
              <w:rPr>
                <w:sz w:val="20"/>
                <w:szCs w:val="20"/>
              </w:rPr>
              <w:t>Autorizație de mediu nr. 17/15.05.2018</w:t>
            </w:r>
          </w:p>
        </w:tc>
      </w:tr>
    </w:tbl>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Expirarea, în cursul anului 2027, a contractelor de delegare pentru salubrizare stradală și iluminat public, precum și a licențelor A.N.R.S.C. aferente, reprezintă elementul de context cu cel mai ridicat impact asupra mandatului 2026–2030.</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6" w:name="_Toc707"/>
      <w:r>
        <w:rPr>
          <w:sz w:val="20"/>
          <w:szCs w:val="20"/>
        </w:rPr>
        <w:t>III. CADRUL LEGAL</w:t>
      </w:r>
      <w:bookmarkEnd w:id="6"/>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Prezenta Scrisoare de Așteptări este emisă în temeiul următoarelor acte normative:</w:t>
      </w:r>
    </w:p>
    <w:p>
      <w:pPr>
        <w:pStyle w:val="ListParagraph"/>
        <w:numPr>
          <w:ilvl w:val="0"/>
          <w:numId w:val="5"/>
        </w:numPr>
        <w:tabs>
          <w:tab w:val="clear" w:pos="708"/>
          <w:tab w:val="left" w:pos="567" w:leader="none"/>
        </w:tabs>
        <w:ind w:left="0" w:firstLine="426"/>
        <w:jc w:val="both"/>
        <w:rPr>
          <w:sz w:val="20"/>
          <w:szCs w:val="20"/>
        </w:rPr>
      </w:pPr>
      <w:r>
        <w:rPr>
          <w:sz w:val="20"/>
          <w:szCs w:val="20"/>
        </w:rPr>
        <w:t>O.U.G. nr. 109/2011 privind guvernanța corporativă a întreprinderilor publice, aprobată cu modificări prin Legea nr. 111/2016, cu modificările și completările ulterioare, inclusiv Legea nr. 187/2023, O.U.G. nr. 117/2023, Legea nr. 158/2025 și O.U.G. nr. 69/05.12.2025;</w:t>
      </w:r>
    </w:p>
    <w:p>
      <w:pPr>
        <w:pStyle w:val="ListParagraph"/>
        <w:numPr>
          <w:ilvl w:val="0"/>
          <w:numId w:val="3"/>
        </w:numPr>
        <w:tabs>
          <w:tab w:val="clear" w:pos="708"/>
          <w:tab w:val="left" w:pos="567" w:leader="none"/>
        </w:tabs>
        <w:ind w:left="0" w:firstLine="426"/>
        <w:jc w:val="both"/>
        <w:rPr>
          <w:sz w:val="20"/>
          <w:szCs w:val="20"/>
        </w:rPr>
      </w:pPr>
      <w:r>
        <w:rPr>
          <w:sz w:val="20"/>
          <w:szCs w:val="20"/>
        </w:rPr>
        <w:t>H.G. nr. 639/2023 pentru aprobarea Normelor metodologice de aplicare a O.U.G. nr. 109/2011, cu modificările și completările aduse prin H.G. nr. 1.053/2025 (M. Of. nr. 1115/03.12.2025);</w:t>
      </w:r>
    </w:p>
    <w:p>
      <w:pPr>
        <w:pStyle w:val="ListParagraph"/>
        <w:numPr>
          <w:ilvl w:val="0"/>
          <w:numId w:val="3"/>
        </w:numPr>
        <w:tabs>
          <w:tab w:val="clear" w:pos="708"/>
          <w:tab w:val="left" w:pos="567" w:leader="none"/>
        </w:tabs>
        <w:ind w:left="0" w:firstLine="426"/>
        <w:jc w:val="both"/>
        <w:rPr>
          <w:sz w:val="20"/>
          <w:szCs w:val="20"/>
        </w:rPr>
      </w:pPr>
      <w:r>
        <w:rPr>
          <w:sz w:val="20"/>
          <w:szCs w:val="20"/>
        </w:rPr>
        <w:t>Ordinul Președintelui A.M.E.P.I.P. nr. 651/24.12.2024 privind stabilirea nivelului minim al indicatorilor de performanță ai întreprinderilor publice (M. Of. nr. 187/04.03.2025);</w:t>
      </w:r>
    </w:p>
    <w:p>
      <w:pPr>
        <w:pStyle w:val="ListParagraph"/>
        <w:numPr>
          <w:ilvl w:val="0"/>
          <w:numId w:val="3"/>
        </w:numPr>
        <w:tabs>
          <w:tab w:val="clear" w:pos="708"/>
          <w:tab w:val="left" w:pos="567" w:leader="none"/>
        </w:tabs>
        <w:ind w:left="0" w:firstLine="426"/>
        <w:jc w:val="both"/>
        <w:rPr>
          <w:sz w:val="20"/>
          <w:szCs w:val="20"/>
        </w:rPr>
      </w:pPr>
      <w:r>
        <w:rPr>
          <w:sz w:val="20"/>
          <w:szCs w:val="20"/>
        </w:rPr>
        <w:t>Legea nr. 31/1990 privind societățile, republicată, cu modificările și completările ulterioare;</w:t>
      </w:r>
    </w:p>
    <w:p>
      <w:pPr>
        <w:pStyle w:val="ListParagraph"/>
        <w:numPr>
          <w:ilvl w:val="0"/>
          <w:numId w:val="3"/>
        </w:numPr>
        <w:tabs>
          <w:tab w:val="clear" w:pos="708"/>
          <w:tab w:val="left" w:pos="567" w:leader="none"/>
        </w:tabs>
        <w:ind w:left="0" w:firstLine="426"/>
        <w:jc w:val="both"/>
        <w:rPr>
          <w:sz w:val="20"/>
          <w:szCs w:val="20"/>
        </w:rPr>
      </w:pPr>
      <w:r>
        <w:rPr>
          <w:sz w:val="20"/>
          <w:szCs w:val="20"/>
        </w:rPr>
        <w:t>O.G. nr. 64/2001 privind repartizarea profitului la societățile naționale, companiile naționale și societățile cu capital integral sau majoritar de stat;</w:t>
      </w:r>
    </w:p>
    <w:p>
      <w:pPr>
        <w:pStyle w:val="ListParagraph"/>
        <w:numPr>
          <w:ilvl w:val="0"/>
          <w:numId w:val="3"/>
        </w:numPr>
        <w:tabs>
          <w:tab w:val="clear" w:pos="708"/>
          <w:tab w:val="left" w:pos="567" w:leader="none"/>
        </w:tabs>
        <w:ind w:left="0" w:firstLine="426"/>
        <w:jc w:val="both"/>
        <w:rPr>
          <w:sz w:val="20"/>
          <w:szCs w:val="20"/>
        </w:rPr>
      </w:pPr>
      <w:r>
        <w:rPr>
          <w:sz w:val="20"/>
          <w:szCs w:val="20"/>
        </w:rPr>
        <w:t>O.G. nr. 26/2013 privind întărirea disciplinei financiare la nivelul unor operatori economici la care statul sau unitățile administrativ-teritoriale sunt acționari unici ori majoritari;</w:t>
      </w:r>
    </w:p>
    <w:p>
      <w:pPr>
        <w:pStyle w:val="ListParagraph"/>
        <w:numPr>
          <w:ilvl w:val="0"/>
          <w:numId w:val="3"/>
        </w:numPr>
        <w:tabs>
          <w:tab w:val="clear" w:pos="708"/>
          <w:tab w:val="left" w:pos="567" w:leader="none"/>
        </w:tabs>
        <w:ind w:left="0" w:firstLine="426"/>
        <w:jc w:val="both"/>
        <w:rPr>
          <w:sz w:val="20"/>
          <w:szCs w:val="20"/>
        </w:rPr>
      </w:pPr>
      <w:r>
        <w:rPr>
          <w:sz w:val="20"/>
          <w:szCs w:val="20"/>
        </w:rPr>
        <w:t>Legea nr. 51/2006 a serviciilor comunitare de utilități publice, republicată;</w:t>
      </w:r>
    </w:p>
    <w:p>
      <w:pPr>
        <w:pStyle w:val="ListParagraph"/>
        <w:numPr>
          <w:ilvl w:val="0"/>
          <w:numId w:val="3"/>
        </w:numPr>
        <w:tabs>
          <w:tab w:val="clear" w:pos="708"/>
          <w:tab w:val="left" w:pos="567" w:leader="none"/>
        </w:tabs>
        <w:ind w:left="0" w:firstLine="426"/>
        <w:jc w:val="both"/>
        <w:rPr>
          <w:sz w:val="20"/>
          <w:szCs w:val="20"/>
        </w:rPr>
      </w:pPr>
      <w:r>
        <w:rPr>
          <w:sz w:val="20"/>
          <w:szCs w:val="20"/>
        </w:rPr>
        <w:t>Legea nr. 101/2006 a serviciului de salubrizare a localităților, republicată;</w:t>
      </w:r>
    </w:p>
    <w:p>
      <w:pPr>
        <w:pStyle w:val="ListParagraph"/>
        <w:numPr>
          <w:ilvl w:val="0"/>
          <w:numId w:val="3"/>
        </w:numPr>
        <w:tabs>
          <w:tab w:val="clear" w:pos="708"/>
          <w:tab w:val="left" w:pos="567" w:leader="none"/>
        </w:tabs>
        <w:ind w:left="0" w:firstLine="426"/>
        <w:jc w:val="both"/>
        <w:rPr>
          <w:sz w:val="20"/>
          <w:szCs w:val="20"/>
        </w:rPr>
      </w:pPr>
      <w:r>
        <w:rPr>
          <w:sz w:val="20"/>
          <w:szCs w:val="20"/>
        </w:rPr>
        <w:t>Legea nr. 230/2006 a serviciului de iluminat public;</w:t>
      </w:r>
    </w:p>
    <w:p>
      <w:pPr>
        <w:pStyle w:val="ListParagraph"/>
        <w:numPr>
          <w:ilvl w:val="0"/>
          <w:numId w:val="3"/>
        </w:numPr>
        <w:tabs>
          <w:tab w:val="clear" w:pos="708"/>
          <w:tab w:val="left" w:pos="567" w:leader="none"/>
        </w:tabs>
        <w:ind w:left="0" w:firstLine="426"/>
        <w:jc w:val="both"/>
        <w:rPr>
          <w:sz w:val="20"/>
          <w:szCs w:val="20"/>
        </w:rPr>
      </w:pPr>
      <w:r>
        <w:rPr>
          <w:sz w:val="20"/>
          <w:szCs w:val="20"/>
        </w:rPr>
        <w:t>O.U.G. nr. 92/2021 privind regimul deșeurilor și O.U.G. nr. 195/2005 privind protecția mediului;</w:t>
      </w:r>
    </w:p>
    <w:p>
      <w:pPr>
        <w:pStyle w:val="ListParagraph"/>
        <w:numPr>
          <w:ilvl w:val="0"/>
          <w:numId w:val="3"/>
        </w:numPr>
        <w:tabs>
          <w:tab w:val="clear" w:pos="708"/>
          <w:tab w:val="left" w:pos="567" w:leader="none"/>
        </w:tabs>
        <w:ind w:left="0" w:firstLine="426"/>
        <w:jc w:val="both"/>
        <w:rPr>
          <w:sz w:val="20"/>
          <w:szCs w:val="20"/>
        </w:rPr>
      </w:pPr>
      <w:r>
        <w:rPr>
          <w:sz w:val="20"/>
          <w:szCs w:val="20"/>
        </w:rPr>
        <w:t>O.U.G. nr. 57/2019 privind Codul administrativ și Legea nr. 53/2003 – Codul muncii, republicată;</w:t>
      </w:r>
    </w:p>
    <w:p>
      <w:pPr>
        <w:pStyle w:val="ListParagraph"/>
        <w:numPr>
          <w:ilvl w:val="0"/>
          <w:numId w:val="3"/>
        </w:numPr>
        <w:tabs>
          <w:tab w:val="clear" w:pos="708"/>
          <w:tab w:val="left" w:pos="567" w:leader="none"/>
        </w:tabs>
        <w:ind w:left="0" w:firstLine="426"/>
        <w:jc w:val="both"/>
        <w:rPr>
          <w:sz w:val="20"/>
          <w:szCs w:val="20"/>
        </w:rPr>
      </w:pPr>
      <w:r>
        <w:rPr>
          <w:sz w:val="20"/>
          <w:szCs w:val="20"/>
        </w:rPr>
        <w:t>Legea nr. 48/2025 privind aprobarea Politicii publice de proprietate privată a statului;</w:t>
      </w:r>
    </w:p>
    <w:p>
      <w:pPr>
        <w:pStyle w:val="ListParagraph"/>
        <w:numPr>
          <w:ilvl w:val="0"/>
          <w:numId w:val="3"/>
        </w:numPr>
        <w:tabs>
          <w:tab w:val="clear" w:pos="708"/>
          <w:tab w:val="left" w:pos="567" w:leader="none"/>
        </w:tabs>
        <w:ind w:left="0" w:firstLine="426"/>
        <w:jc w:val="both"/>
        <w:rPr>
          <w:sz w:val="20"/>
          <w:szCs w:val="20"/>
        </w:rPr>
      </w:pPr>
      <w:r>
        <w:rPr>
          <w:sz w:val="20"/>
          <w:szCs w:val="20"/>
        </w:rPr>
        <w:t>H.C.L. Pucioasa nr. 157/28.09.2022, nr. 153/28.09.2022 și nr. 54/30.03.2023 privind delegarea gestiunii serviciilor publice;</w:t>
      </w:r>
    </w:p>
    <w:p>
      <w:pPr>
        <w:pStyle w:val="ListParagraph"/>
        <w:numPr>
          <w:ilvl w:val="0"/>
          <w:numId w:val="3"/>
        </w:numPr>
        <w:tabs>
          <w:tab w:val="clear" w:pos="708"/>
          <w:tab w:val="left" w:pos="567" w:leader="none"/>
        </w:tabs>
        <w:ind w:left="0" w:firstLine="426"/>
        <w:jc w:val="both"/>
        <w:rPr>
          <w:sz w:val="20"/>
          <w:szCs w:val="20"/>
        </w:rPr>
      </w:pPr>
      <w:r>
        <w:rPr>
          <w:sz w:val="20"/>
          <w:szCs w:val="20"/>
        </w:rPr>
        <w:t>Actul constitutiv al societății, actualizat, aprobat prin H.C.L. Pucioasa nr. 30/20.03.2026.</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7" w:name="_Toc708"/>
      <w:r>
        <w:rPr>
          <w:sz w:val="20"/>
          <w:szCs w:val="20"/>
        </w:rPr>
        <w:t>IV. CONTEXTUL ECONOMICO-FINANCIAR AL MANDATULUI</w:t>
      </w:r>
      <w:bookmarkEnd w:id="7"/>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Situația de referință pentru stabilirea nivelurilor orientative de performanță o constituie exercițiul financiar 2025, ale cărui situații financiare au fost aprobate prin H.C.L. Pucioasa din 18.05.2026, pe baza Raportului anual al administratorului nr. 98/05.03.2026.</w:t>
      </w:r>
    </w:p>
    <w:p>
      <w:pPr>
        <w:pStyle w:val="Normal"/>
        <w:spacing w:before="0" w:after="0"/>
        <w:ind w:firstLine="708"/>
        <w:contextualSpacing/>
        <w:jc w:val="both"/>
        <w:rPr>
          <w:sz w:val="20"/>
          <w:szCs w:val="20"/>
        </w:rPr>
      </w:pPr>
      <w:r>
        <w:rPr>
          <w:sz w:val="20"/>
          <w:szCs w:val="20"/>
        </w:rPr>
      </w:r>
    </w:p>
    <w:tbl>
      <w:tblPr>
        <w:tblW w:w="9360" w:type="dxa"/>
        <w:jc w:val="left"/>
        <w:tblInd w:w="0" w:type="dxa"/>
        <w:tblLayout w:type="fixed"/>
        <w:tblCellMar>
          <w:top w:w="60" w:type="dxa"/>
          <w:left w:w="70" w:type="dxa"/>
          <w:bottom w:w="60" w:type="dxa"/>
          <w:right w:w="70" w:type="dxa"/>
        </w:tblCellMar>
        <w:tblLook w:firstRow="1" w:noVBand="1" w:lastRow="0" w:firstColumn="1" w:lastColumn="0" w:noHBand="0" w:val="04a0"/>
      </w:tblPr>
      <w:tblGrid>
        <w:gridCol w:w="4680"/>
        <w:gridCol w:w="4679"/>
      </w:tblGrid>
      <w:tr>
        <w:trPr>
          <w:tblHeader w:val="true"/>
        </w:trPr>
        <w:tc>
          <w:tcPr>
            <w:tcW w:w="4680" w:type="dxa"/>
            <w:tcBorders>
              <w:top w:val="single" w:sz="4" w:space="0" w:color="8EA9DB"/>
              <w:left w:val="single" w:sz="4" w:space="0" w:color="8EA9DB"/>
              <w:bottom w:val="single" w:sz="2" w:space="0" w:color="B4C6E7"/>
              <w:right w:val="single" w:sz="2" w:space="0" w:color="B4C6E7"/>
            </w:tcBorders>
            <w:vAlign w:val="center"/>
          </w:tcPr>
          <w:p>
            <w:pPr>
              <w:pStyle w:val="Normal"/>
              <w:widowControl w:val="false"/>
              <w:spacing w:before="0" w:after="0"/>
              <w:contextualSpacing/>
              <w:jc w:val="center"/>
              <w:rPr>
                <w:sz w:val="20"/>
                <w:szCs w:val="20"/>
              </w:rPr>
            </w:pPr>
            <w:r>
              <w:rPr>
                <w:b/>
                <w:bCs/>
                <w:sz w:val="20"/>
                <w:szCs w:val="20"/>
              </w:rPr>
              <w:t>Indicator de referință la 31.12.2025</w:t>
            </w:r>
          </w:p>
        </w:tc>
        <w:tc>
          <w:tcPr>
            <w:tcW w:w="4679" w:type="dxa"/>
            <w:tcBorders>
              <w:top w:val="single" w:sz="4" w:space="0" w:color="8EA9DB"/>
              <w:left w:val="single" w:sz="2" w:space="0" w:color="B4C6E7"/>
              <w:bottom w:val="single" w:sz="2" w:space="0" w:color="B4C6E7"/>
              <w:right w:val="single" w:sz="4" w:space="0" w:color="8EA9DB"/>
            </w:tcBorders>
            <w:vAlign w:val="center"/>
          </w:tcPr>
          <w:p>
            <w:pPr>
              <w:pStyle w:val="Normal"/>
              <w:widowControl w:val="false"/>
              <w:spacing w:before="0" w:after="0"/>
              <w:contextualSpacing/>
              <w:jc w:val="center"/>
              <w:rPr>
                <w:sz w:val="20"/>
                <w:szCs w:val="20"/>
              </w:rPr>
            </w:pPr>
            <w:r>
              <w:rPr>
                <w:b/>
                <w:bCs/>
                <w:sz w:val="20"/>
                <w:szCs w:val="20"/>
              </w:rPr>
              <w:t>Valoare</w:t>
            </w:r>
          </w:p>
        </w:tc>
      </w:tr>
      <w:tr>
        <w:trPr/>
        <w:tc>
          <w:tcPr>
            <w:tcW w:w="4680"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b/>
                <w:bCs/>
                <w:sz w:val="20"/>
                <w:szCs w:val="20"/>
              </w:rPr>
            </w:pPr>
            <w:r>
              <w:rPr>
                <w:b/>
                <w:bCs/>
                <w:sz w:val="20"/>
                <w:szCs w:val="20"/>
              </w:rPr>
              <w:t>Cifra de afaceri netă</w:t>
            </w:r>
          </w:p>
        </w:tc>
        <w:tc>
          <w:tcPr>
            <w:tcW w:w="4679"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b/>
                <w:bCs/>
                <w:sz w:val="20"/>
                <w:szCs w:val="20"/>
              </w:rPr>
            </w:pPr>
            <w:r>
              <w:rPr>
                <w:b/>
                <w:bCs/>
                <w:sz w:val="20"/>
                <w:szCs w:val="20"/>
              </w:rPr>
              <w:t>3.623.297 lei</w:t>
            </w:r>
          </w:p>
        </w:tc>
      </w:tr>
      <w:tr>
        <w:trPr/>
        <w:tc>
          <w:tcPr>
            <w:tcW w:w="4680"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b/>
                <w:bCs/>
                <w:sz w:val="20"/>
                <w:szCs w:val="20"/>
              </w:rPr>
            </w:pPr>
            <w:r>
              <w:rPr>
                <w:b/>
                <w:bCs/>
                <w:sz w:val="20"/>
                <w:szCs w:val="20"/>
              </w:rPr>
              <w:t>Cifra de afaceri netă comparabilă (fără serviciile prestate în 2024 și facturate în 2025)</w:t>
            </w:r>
          </w:p>
        </w:tc>
        <w:tc>
          <w:tcPr>
            <w:tcW w:w="4679"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b/>
                <w:bCs/>
                <w:sz w:val="20"/>
                <w:szCs w:val="20"/>
              </w:rPr>
            </w:pPr>
            <w:r>
              <w:rPr>
                <w:b/>
                <w:bCs/>
                <w:sz w:val="20"/>
                <w:szCs w:val="20"/>
              </w:rPr>
              <w:t>3.218.631 lei</w:t>
            </w:r>
          </w:p>
        </w:tc>
      </w:tr>
      <w:tr>
        <w:trPr/>
        <w:tc>
          <w:tcPr>
            <w:tcW w:w="4680"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b/>
                <w:bCs/>
                <w:sz w:val="20"/>
                <w:szCs w:val="20"/>
              </w:rPr>
            </w:pPr>
            <w:r>
              <w:rPr>
                <w:b/>
                <w:bCs/>
                <w:sz w:val="20"/>
                <w:szCs w:val="20"/>
              </w:rPr>
              <w:t>Profit net al exercițiului</w:t>
            </w:r>
          </w:p>
        </w:tc>
        <w:tc>
          <w:tcPr>
            <w:tcW w:w="4679"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b/>
                <w:bCs/>
                <w:sz w:val="20"/>
                <w:szCs w:val="20"/>
              </w:rPr>
            </w:pPr>
            <w:r>
              <w:rPr>
                <w:b/>
                <w:bCs/>
                <w:sz w:val="20"/>
                <w:szCs w:val="20"/>
              </w:rPr>
              <w:t>51.573 lei</w:t>
            </w:r>
          </w:p>
        </w:tc>
      </w:tr>
      <w:tr>
        <w:trPr/>
        <w:tc>
          <w:tcPr>
            <w:tcW w:w="4680"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b/>
                <w:bCs/>
                <w:sz w:val="20"/>
                <w:szCs w:val="20"/>
              </w:rPr>
            </w:pPr>
            <w:r>
              <w:rPr>
                <w:b/>
                <w:bCs/>
                <w:sz w:val="20"/>
                <w:szCs w:val="20"/>
              </w:rPr>
              <w:t>Total active</w:t>
            </w:r>
          </w:p>
        </w:tc>
        <w:tc>
          <w:tcPr>
            <w:tcW w:w="4679"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b/>
                <w:bCs/>
                <w:sz w:val="20"/>
                <w:szCs w:val="20"/>
              </w:rPr>
            </w:pPr>
            <w:r>
              <w:rPr>
                <w:b/>
                <w:bCs/>
                <w:sz w:val="20"/>
                <w:szCs w:val="20"/>
              </w:rPr>
              <w:t>3.294.217 lei</w:t>
            </w:r>
          </w:p>
        </w:tc>
      </w:tr>
      <w:tr>
        <w:trPr/>
        <w:tc>
          <w:tcPr>
            <w:tcW w:w="4680"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b/>
                <w:bCs/>
                <w:sz w:val="20"/>
                <w:szCs w:val="20"/>
              </w:rPr>
            </w:pPr>
            <w:r>
              <w:rPr>
                <w:b/>
                <w:bCs/>
                <w:sz w:val="20"/>
                <w:szCs w:val="20"/>
              </w:rPr>
              <w:t>Capitaluri proprii</w:t>
            </w:r>
          </w:p>
        </w:tc>
        <w:tc>
          <w:tcPr>
            <w:tcW w:w="4679"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b/>
                <w:bCs/>
                <w:sz w:val="20"/>
                <w:szCs w:val="20"/>
              </w:rPr>
            </w:pPr>
            <w:r>
              <w:rPr>
                <w:b/>
                <w:bCs/>
                <w:sz w:val="20"/>
                <w:szCs w:val="20"/>
              </w:rPr>
              <w:t>1.304.576 lei</w:t>
            </w:r>
          </w:p>
        </w:tc>
      </w:tr>
      <w:tr>
        <w:trPr/>
        <w:tc>
          <w:tcPr>
            <w:tcW w:w="4680"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b/>
                <w:bCs/>
                <w:sz w:val="20"/>
                <w:szCs w:val="20"/>
              </w:rPr>
            </w:pPr>
            <w:r>
              <w:rPr>
                <w:b/>
                <w:bCs/>
                <w:sz w:val="20"/>
                <w:szCs w:val="20"/>
              </w:rPr>
              <w:t>Datorii totale</w:t>
            </w:r>
          </w:p>
        </w:tc>
        <w:tc>
          <w:tcPr>
            <w:tcW w:w="4679"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b/>
                <w:bCs/>
                <w:sz w:val="20"/>
                <w:szCs w:val="20"/>
              </w:rPr>
            </w:pPr>
            <w:r>
              <w:rPr>
                <w:b/>
                <w:bCs/>
                <w:sz w:val="20"/>
                <w:szCs w:val="20"/>
              </w:rPr>
              <w:t>1.989.641 lei</w:t>
            </w:r>
          </w:p>
        </w:tc>
      </w:tr>
      <w:tr>
        <w:trPr/>
        <w:tc>
          <w:tcPr>
            <w:tcW w:w="4680" w:type="dxa"/>
            <w:tcBorders>
              <w:top w:val="single" w:sz="2" w:space="0" w:color="B4C6E7"/>
              <w:left w:val="single" w:sz="4" w:space="0" w:color="8EA9DB"/>
              <w:bottom w:val="single" w:sz="4" w:space="0" w:color="8EA9DB"/>
              <w:right w:val="single" w:sz="2" w:space="0" w:color="B4C6E7"/>
            </w:tcBorders>
            <w:tcMar>
              <w:top w:w="40" w:type="dxa"/>
              <w:bottom w:w="40" w:type="dxa"/>
            </w:tcMar>
            <w:vAlign w:val="center"/>
          </w:tcPr>
          <w:p>
            <w:pPr>
              <w:pStyle w:val="Normal"/>
              <w:widowControl w:val="false"/>
              <w:spacing w:before="0" w:after="0"/>
              <w:contextualSpacing/>
              <w:jc w:val="both"/>
              <w:rPr>
                <w:b/>
                <w:bCs/>
                <w:sz w:val="20"/>
                <w:szCs w:val="20"/>
              </w:rPr>
            </w:pPr>
            <w:r>
              <w:rPr>
                <w:b/>
                <w:bCs/>
                <w:sz w:val="20"/>
                <w:szCs w:val="20"/>
              </w:rPr>
              <w:t>Număr de salariați la 31.12.2025</w:t>
            </w:r>
          </w:p>
        </w:tc>
        <w:tc>
          <w:tcPr>
            <w:tcW w:w="4679" w:type="dxa"/>
            <w:tcBorders>
              <w:top w:val="single" w:sz="2" w:space="0" w:color="B4C6E7"/>
              <w:left w:val="single" w:sz="2" w:space="0" w:color="B4C6E7"/>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center"/>
              <w:rPr>
                <w:b/>
                <w:bCs/>
                <w:sz w:val="20"/>
                <w:szCs w:val="20"/>
              </w:rPr>
            </w:pPr>
            <w:r>
              <w:rPr>
                <w:b/>
                <w:bCs/>
                <w:sz w:val="20"/>
                <w:szCs w:val="20"/>
              </w:rPr>
              <w:t>31</w:t>
            </w:r>
          </w:p>
        </w:tc>
      </w:tr>
    </w:tbl>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Trei elemente de context sunt determinante pentru calibrarea așteptărilor pe perioada mandatului:</w:t>
      </w:r>
    </w:p>
    <w:p>
      <w:pPr>
        <w:pStyle w:val="ListParagraph"/>
        <w:numPr>
          <w:ilvl w:val="0"/>
          <w:numId w:val="3"/>
        </w:numPr>
        <w:ind w:left="0" w:firstLine="567"/>
        <w:jc w:val="both"/>
        <w:rPr>
          <w:sz w:val="20"/>
          <w:szCs w:val="20"/>
        </w:rPr>
      </w:pPr>
      <w:r>
        <w:rPr>
          <w:b/>
          <w:bCs/>
          <w:sz w:val="20"/>
          <w:szCs w:val="20"/>
        </w:rPr>
        <w:t xml:space="preserve">Normalizarea încasărilor. </w:t>
      </w:r>
      <w:r>
        <w:rPr>
          <w:sz w:val="20"/>
          <w:szCs w:val="20"/>
        </w:rPr>
        <w:t>Creanțele restante de la U.A.T. Orașul Pucioasa, înregistrate la 31.12.2025, au fost încasate integral în lunile martie - aprilie 2026. Ca urmare, blocajul care a determinat, în exercițiile anterioare, înregistrarea de plăți restante și neîncadrarea în termenele de recuperare a creanțelor a fost eliminat. Reducerea corespunzătoare a plăților restante și rambursarea liniei de credit constituie obiective ale primului an de mandat.</w:t>
      </w:r>
    </w:p>
    <w:p>
      <w:pPr>
        <w:pStyle w:val="ListParagraph"/>
        <w:numPr>
          <w:ilvl w:val="0"/>
          <w:numId w:val="3"/>
        </w:numPr>
        <w:ind w:left="0" w:firstLine="567"/>
        <w:jc w:val="both"/>
        <w:rPr>
          <w:sz w:val="20"/>
          <w:szCs w:val="20"/>
        </w:rPr>
      </w:pPr>
      <w:r>
        <w:rPr>
          <w:b/>
          <w:bCs/>
          <w:sz w:val="20"/>
          <w:szCs w:val="20"/>
        </w:rPr>
        <w:t xml:space="preserve">Constrângerea privind fundamentarea veniturilor. </w:t>
      </w:r>
      <w:r>
        <w:rPr>
          <w:sz w:val="20"/>
          <w:szCs w:val="20"/>
        </w:rPr>
        <w:t>Întrucât gradul de realizare a veniturilor totale a fost sub 90% în exercițiile 2024 și 2025, bugetul de venituri și cheltuieli pentru anul 2026 a fost fundamentat, în temeiul art. 9 alin. (2) din O.G. nr. 26/2013, cel mult la nivelul realizărilor anului precedent. Totodată, cifra de afaceri netă a exercițiului 2025 include facturarea serviciilor prestate în anul 2024 și rămase nefacturate la finele acelui exercițiu, efect reflectat în veniturile aferente costului producției în curs de execuție, în sumă negativă de 430.079 lei. Cele două elemente explică ținta de creștere a cifrei de afaceri stabilită pentru anul 2026, detaliată la capitolul X.4.</w:t>
      </w:r>
    </w:p>
    <w:p>
      <w:pPr>
        <w:pStyle w:val="ListParagraph"/>
        <w:numPr>
          <w:ilvl w:val="0"/>
          <w:numId w:val="3"/>
        </w:numPr>
        <w:ind w:left="0" w:firstLine="567"/>
        <w:jc w:val="both"/>
        <w:rPr>
          <w:sz w:val="20"/>
          <w:szCs w:val="20"/>
        </w:rPr>
      </w:pPr>
      <w:r>
        <w:rPr>
          <w:b/>
          <w:bCs/>
          <w:sz w:val="20"/>
          <w:szCs w:val="20"/>
        </w:rPr>
        <w:t xml:space="preserve">Recuperarea decalajului investițional. </w:t>
      </w:r>
      <w:r>
        <w:rPr>
          <w:sz w:val="20"/>
          <w:szCs w:val="20"/>
        </w:rPr>
        <w:t>Gradul de realizare a Programului de investiții a fost redus în perioada 2023–2025, achizițiile majore programate rămânând nefinalizate. Deblocarea trezoreriei creează premisa reluării programului de investiții începând cu exercițiul 2027.</w:t>
      </w:r>
    </w:p>
    <w:p>
      <w:pPr>
        <w:pStyle w:val="ListParagraph"/>
        <w:ind w:left="567" w:hanging="0"/>
        <w:jc w:val="both"/>
        <w:rPr>
          <w:sz w:val="20"/>
          <w:szCs w:val="20"/>
        </w:rPr>
      </w:pPr>
      <w:r>
        <w:rPr>
          <w:sz w:val="20"/>
          <w:szCs w:val="20"/>
        </w:rPr>
      </w:r>
    </w:p>
    <w:p>
      <w:pPr>
        <w:pStyle w:val="Heading1"/>
        <w:spacing w:beforeAutospacing="0" w:before="0" w:afterAutospacing="0" w:after="0"/>
        <w:contextualSpacing/>
        <w:jc w:val="both"/>
        <w:rPr>
          <w:sz w:val="20"/>
          <w:szCs w:val="20"/>
        </w:rPr>
      </w:pPr>
      <w:bookmarkStart w:id="8" w:name="_Toc709"/>
      <w:r>
        <w:rPr>
          <w:sz w:val="20"/>
          <w:szCs w:val="20"/>
        </w:rPr>
        <w:t>V. VIZIUNEA AUTORITĂȚII PUBLICE TUTELARE – UAT ORAŞUL PUCIOASA</w:t>
      </w:r>
      <w:bookmarkEnd w:id="8"/>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Consiliul Local al Orașului Pucioasa, în calitate de Asociat Unic, urmărește ca societatea să devină un operator de servicii publice eficient, sustenabil financiar și orientat spre calitate, care să asigure continuitatea și îmbunătățirea serviciilor de salubrizare stradală, iluminat public și DDD pentru cetățenii orașului Pucioasa.</w:t>
      </w:r>
    </w:p>
    <w:p>
      <w:pPr>
        <w:pStyle w:val="Normal"/>
        <w:spacing w:before="0" w:after="0"/>
        <w:ind w:firstLine="708"/>
        <w:contextualSpacing/>
        <w:jc w:val="both"/>
        <w:rPr>
          <w:sz w:val="20"/>
          <w:szCs w:val="20"/>
        </w:rPr>
      </w:pPr>
      <w:r>
        <w:rPr>
          <w:sz w:val="20"/>
          <w:szCs w:val="20"/>
        </w:rPr>
        <w:t>Autoritatea Publică Tutelară așteaptă de la organele de administrare și conducere consolidarea poziției financiare a societății într-un orizont care să permită depunerea, în condiții competitive, a documentației pentru reînnoirea delegării serviciilor publice ce expiră în anul 2027, precum și reluarea programului de investiții în echipamentele necesare prestării serviciilor.</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9" w:name="_Toc710"/>
      <w:r>
        <w:rPr>
          <w:sz w:val="20"/>
          <w:szCs w:val="20"/>
        </w:rPr>
        <w:t>VI. OBIECTIVE STRATEGICE PENTRU MANDATUL 2026–2030</w:t>
      </w:r>
      <w:bookmarkEnd w:id="9"/>
    </w:p>
    <w:p>
      <w:pPr>
        <w:pStyle w:val="Heading2"/>
        <w:spacing w:before="0" w:after="0"/>
        <w:contextualSpacing/>
        <w:jc w:val="both"/>
        <w:rPr>
          <w:rFonts w:ascii="Times New Roman" w:hAnsi="Times New Roman" w:cs="Times New Roman"/>
          <w:b/>
          <w:bCs/>
          <w:color w:val="auto"/>
          <w:sz w:val="20"/>
          <w:szCs w:val="20"/>
        </w:rPr>
      </w:pPr>
      <w:r>
        <w:rPr>
          <w:rFonts w:cs="Times New Roman" w:ascii="Times New Roman" w:hAnsi="Times New Roman"/>
          <w:b/>
          <w:bCs/>
          <w:color w:val="auto"/>
          <w:sz w:val="20"/>
          <w:szCs w:val="20"/>
        </w:rPr>
      </w:r>
    </w:p>
    <w:p>
      <w:pPr>
        <w:pStyle w:val="Heading2"/>
        <w:spacing w:before="0" w:after="0"/>
        <w:contextualSpacing/>
        <w:jc w:val="both"/>
        <w:rPr>
          <w:rFonts w:ascii="Times New Roman" w:hAnsi="Times New Roman" w:cs="Times New Roman"/>
          <w:color w:val="auto"/>
          <w:sz w:val="20"/>
          <w:szCs w:val="20"/>
        </w:rPr>
      </w:pPr>
      <w:bookmarkStart w:id="10" w:name="_Toc711"/>
      <w:r>
        <w:rPr>
          <w:rFonts w:cs="Times New Roman" w:ascii="Times New Roman" w:hAnsi="Times New Roman"/>
          <w:b/>
          <w:bCs/>
          <w:color w:val="auto"/>
          <w:sz w:val="20"/>
          <w:szCs w:val="20"/>
        </w:rPr>
        <w:t>VI.1. Stabilitate financiară și eficiență economică</w:t>
      </w:r>
      <w:bookmarkEnd w:id="10"/>
    </w:p>
    <w:p>
      <w:pPr>
        <w:pStyle w:val="ListParagraph"/>
        <w:ind w:left="0" w:hanging="0"/>
        <w:jc w:val="both"/>
        <w:rPr>
          <w:sz w:val="20"/>
          <w:szCs w:val="20"/>
        </w:rPr>
      </w:pPr>
      <w:r>
        <w:rPr>
          <w:sz w:val="20"/>
          <w:szCs w:val="20"/>
        </w:rPr>
      </w:r>
    </w:p>
    <w:p>
      <w:pPr>
        <w:pStyle w:val="ListParagraph"/>
        <w:numPr>
          <w:ilvl w:val="0"/>
          <w:numId w:val="3"/>
        </w:numPr>
        <w:ind w:left="0" w:firstLine="426"/>
        <w:jc w:val="both"/>
        <w:rPr>
          <w:sz w:val="20"/>
          <w:szCs w:val="20"/>
        </w:rPr>
      </w:pPr>
      <w:r>
        <w:rPr>
          <w:sz w:val="20"/>
          <w:szCs w:val="20"/>
        </w:rPr>
        <w:t>Menținerea echilibrului financiar și atingerea progresivă a nivelurilor minime ale indicatorilor de performanță stabilite prin Ordinul A.M.E.P.I.P. nr. 651/2024;</w:t>
      </w:r>
    </w:p>
    <w:p>
      <w:pPr>
        <w:pStyle w:val="ListParagraph"/>
        <w:numPr>
          <w:ilvl w:val="0"/>
          <w:numId w:val="3"/>
        </w:numPr>
        <w:ind w:left="0" w:firstLine="426"/>
        <w:jc w:val="both"/>
        <w:rPr>
          <w:sz w:val="20"/>
          <w:szCs w:val="20"/>
        </w:rPr>
      </w:pPr>
      <w:r>
        <w:rPr>
          <w:sz w:val="20"/>
          <w:szCs w:val="20"/>
        </w:rPr>
        <w:t>Stingerea integrală a plăților restante – arierate bugetare, obligații sociale și datorii față de furnizori – și rambursarea liniei de credit angajate;</w:t>
      </w:r>
    </w:p>
    <w:p>
      <w:pPr>
        <w:pStyle w:val="ListParagraph"/>
        <w:numPr>
          <w:ilvl w:val="0"/>
          <w:numId w:val="3"/>
        </w:numPr>
        <w:ind w:left="0" w:firstLine="426"/>
        <w:jc w:val="both"/>
        <w:rPr>
          <w:sz w:val="20"/>
          <w:szCs w:val="20"/>
        </w:rPr>
      </w:pPr>
      <w:r>
        <w:rPr>
          <w:sz w:val="20"/>
          <w:szCs w:val="20"/>
        </w:rPr>
        <w:t>Menținerea gradului de îndatorare sub pragul de 1,00 pe întreaga durată a mandatului, prin stingerea plăților restante și rambursarea liniei de credit;</w:t>
      </w:r>
    </w:p>
    <w:p>
      <w:pPr>
        <w:pStyle w:val="ListParagraph"/>
        <w:numPr>
          <w:ilvl w:val="0"/>
          <w:numId w:val="3"/>
        </w:numPr>
        <w:ind w:left="0" w:firstLine="426"/>
        <w:jc w:val="both"/>
        <w:rPr>
          <w:sz w:val="20"/>
          <w:szCs w:val="20"/>
        </w:rPr>
      </w:pPr>
      <w:r>
        <w:rPr>
          <w:sz w:val="20"/>
          <w:szCs w:val="20"/>
        </w:rPr>
        <w:t>Menținerea unui termen mediu de încasare a creanțelor de cel mult 50 de zile, prin facturare lunară și urmărirea sistematică a decontărilor cu Autoritatea Publică Tutelară;</w:t>
      </w:r>
    </w:p>
    <w:p>
      <w:pPr>
        <w:pStyle w:val="ListParagraph"/>
        <w:numPr>
          <w:ilvl w:val="0"/>
          <w:numId w:val="3"/>
        </w:numPr>
        <w:ind w:left="0" w:firstLine="426"/>
        <w:jc w:val="both"/>
        <w:rPr>
          <w:sz w:val="20"/>
          <w:szCs w:val="20"/>
        </w:rPr>
      </w:pPr>
      <w:r>
        <w:rPr>
          <w:sz w:val="20"/>
          <w:szCs w:val="20"/>
        </w:rPr>
        <w:t>Actualizarea anuală a tarifelor cu cel puțin rata inflației, conform art. 9 alin. (2^8) din O.G. nr. 26/2013;</w:t>
      </w:r>
    </w:p>
    <w:p>
      <w:pPr>
        <w:pStyle w:val="ListParagraph"/>
        <w:numPr>
          <w:ilvl w:val="0"/>
          <w:numId w:val="3"/>
        </w:numPr>
        <w:ind w:left="0" w:firstLine="426"/>
        <w:jc w:val="both"/>
        <w:rPr>
          <w:sz w:val="20"/>
          <w:szCs w:val="20"/>
        </w:rPr>
      </w:pPr>
      <w:r>
        <w:rPr>
          <w:sz w:val="20"/>
          <w:szCs w:val="20"/>
        </w:rPr>
        <w:t>Optimizarea permanentă a costurilor de operare, fără afectarea calității serviciilor prestate;</w:t>
      </w:r>
    </w:p>
    <w:p>
      <w:pPr>
        <w:pStyle w:val="ListParagraph"/>
        <w:numPr>
          <w:ilvl w:val="0"/>
          <w:numId w:val="3"/>
        </w:numPr>
        <w:ind w:left="0" w:firstLine="426"/>
        <w:jc w:val="both"/>
        <w:rPr>
          <w:sz w:val="20"/>
          <w:szCs w:val="20"/>
        </w:rPr>
      </w:pPr>
      <w:r>
        <w:rPr>
          <w:sz w:val="20"/>
          <w:szCs w:val="20"/>
        </w:rPr>
        <w:t>Reducerea costurilor cu energia electrică prin extinderea tehnologiei LED și a sistemului de telegestiune;</w:t>
      </w:r>
    </w:p>
    <w:p>
      <w:pPr>
        <w:pStyle w:val="ListParagraph"/>
        <w:numPr>
          <w:ilvl w:val="0"/>
          <w:numId w:val="3"/>
        </w:numPr>
        <w:ind w:left="0" w:firstLine="426"/>
        <w:jc w:val="both"/>
        <w:rPr>
          <w:sz w:val="20"/>
          <w:szCs w:val="20"/>
        </w:rPr>
      </w:pPr>
      <w:r>
        <w:rPr>
          <w:sz w:val="20"/>
          <w:szCs w:val="20"/>
        </w:rPr>
        <w:t>Implicarea activă a Comitetului de audit în supravegherea controlului financiar intern.</w:t>
      </w:r>
    </w:p>
    <w:p>
      <w:pPr>
        <w:pStyle w:val="Heading2"/>
        <w:spacing w:before="0" w:after="0"/>
        <w:contextualSpacing/>
        <w:jc w:val="both"/>
        <w:rPr>
          <w:rFonts w:ascii="Times New Roman" w:hAnsi="Times New Roman" w:cs="Times New Roman"/>
          <w:b/>
          <w:bCs/>
          <w:color w:val="auto"/>
          <w:sz w:val="20"/>
          <w:szCs w:val="20"/>
        </w:rPr>
      </w:pPr>
      <w:r>
        <w:rPr>
          <w:rFonts w:cs="Times New Roman" w:ascii="Times New Roman" w:hAnsi="Times New Roman"/>
          <w:b/>
          <w:bCs/>
          <w:color w:val="auto"/>
          <w:sz w:val="20"/>
          <w:szCs w:val="20"/>
        </w:rPr>
      </w:r>
    </w:p>
    <w:p>
      <w:pPr>
        <w:pStyle w:val="Heading2"/>
        <w:spacing w:before="0" w:after="0"/>
        <w:contextualSpacing/>
        <w:jc w:val="both"/>
        <w:rPr>
          <w:rFonts w:ascii="Times New Roman" w:hAnsi="Times New Roman" w:cs="Times New Roman"/>
          <w:color w:val="auto"/>
          <w:sz w:val="20"/>
          <w:szCs w:val="20"/>
        </w:rPr>
      </w:pPr>
      <w:bookmarkStart w:id="11" w:name="_Toc712"/>
      <w:r>
        <w:rPr>
          <w:rFonts w:cs="Times New Roman" w:ascii="Times New Roman" w:hAnsi="Times New Roman"/>
          <w:b/>
          <w:bCs/>
          <w:color w:val="auto"/>
          <w:sz w:val="20"/>
          <w:szCs w:val="20"/>
        </w:rPr>
        <w:t>VI.2. Continuitatea și calitatea serviciilor publice delegate</w:t>
      </w:r>
      <w:bookmarkEnd w:id="11"/>
    </w:p>
    <w:p>
      <w:pPr>
        <w:pStyle w:val="ListParagraph"/>
        <w:ind w:left="0" w:hanging="0"/>
        <w:jc w:val="both"/>
        <w:rPr>
          <w:sz w:val="20"/>
          <w:szCs w:val="20"/>
        </w:rPr>
      </w:pPr>
      <w:r>
        <w:rPr>
          <w:sz w:val="20"/>
          <w:szCs w:val="20"/>
        </w:rPr>
      </w:r>
    </w:p>
    <w:p>
      <w:pPr>
        <w:pStyle w:val="ListParagraph"/>
        <w:numPr>
          <w:ilvl w:val="0"/>
          <w:numId w:val="3"/>
        </w:numPr>
        <w:ind w:left="0" w:firstLine="426"/>
        <w:jc w:val="both"/>
        <w:rPr>
          <w:sz w:val="20"/>
          <w:szCs w:val="20"/>
        </w:rPr>
      </w:pPr>
      <w:r>
        <w:rPr>
          <w:sz w:val="20"/>
          <w:szCs w:val="20"/>
        </w:rPr>
        <w:t>Asigurarea continuității și calității serviciilor de salubrizare stradală, iluminat public și DDD, conform cerințelor contractuale și standardelor A.N.R.S.C. și A.N.R.E.;</w:t>
      </w:r>
    </w:p>
    <w:p>
      <w:pPr>
        <w:pStyle w:val="ListParagraph"/>
        <w:numPr>
          <w:ilvl w:val="0"/>
          <w:numId w:val="3"/>
        </w:numPr>
        <w:ind w:left="0" w:firstLine="426"/>
        <w:jc w:val="both"/>
        <w:rPr>
          <w:sz w:val="20"/>
          <w:szCs w:val="20"/>
        </w:rPr>
      </w:pPr>
      <w:r>
        <w:rPr>
          <w:sz w:val="20"/>
          <w:szCs w:val="20"/>
        </w:rPr>
        <w:t>Inițierea și finalizarea procedurilor de reînnoire a Contractelor de delegare și a licențelor A.N.R.S.C. care expiră în anul 2027, cu cel puțin 3 luni înainte de expirare;</w:t>
      </w:r>
    </w:p>
    <w:p>
      <w:pPr>
        <w:pStyle w:val="ListParagraph"/>
        <w:numPr>
          <w:ilvl w:val="0"/>
          <w:numId w:val="3"/>
        </w:numPr>
        <w:ind w:left="0" w:firstLine="426"/>
        <w:jc w:val="both"/>
        <w:rPr>
          <w:sz w:val="20"/>
          <w:szCs w:val="20"/>
        </w:rPr>
      </w:pPr>
      <w:r>
        <w:rPr>
          <w:sz w:val="20"/>
          <w:szCs w:val="20"/>
        </w:rPr>
        <w:t>Implementarea unui sistem de monitorizare a calității serviciilor și a gradului de satisfacție a beneficiarilor, prin sondaj anual;</w:t>
      </w:r>
    </w:p>
    <w:p>
      <w:pPr>
        <w:pStyle w:val="ListParagraph"/>
        <w:numPr>
          <w:ilvl w:val="0"/>
          <w:numId w:val="3"/>
        </w:numPr>
        <w:ind w:left="0" w:firstLine="426"/>
        <w:jc w:val="both"/>
        <w:rPr>
          <w:sz w:val="20"/>
          <w:szCs w:val="20"/>
        </w:rPr>
      </w:pPr>
      <w:r>
        <w:rPr>
          <w:sz w:val="20"/>
          <w:szCs w:val="20"/>
        </w:rPr>
        <w:t>Îmbunătățirea operativității intervențiilor și a capacității de răspuns în situații de urgență, în special deszăpezire și avarii la sistemul de iluminat public;</w:t>
      </w:r>
    </w:p>
    <w:p>
      <w:pPr>
        <w:pStyle w:val="ListParagraph"/>
        <w:numPr>
          <w:ilvl w:val="0"/>
          <w:numId w:val="3"/>
        </w:numPr>
        <w:ind w:left="0" w:firstLine="426"/>
        <w:jc w:val="both"/>
        <w:rPr>
          <w:sz w:val="20"/>
          <w:szCs w:val="20"/>
        </w:rPr>
      </w:pPr>
      <w:r>
        <w:rPr>
          <w:sz w:val="20"/>
          <w:szCs w:val="20"/>
        </w:rPr>
        <w:t>Realizarea campaniilor DDD la termenele și în parametrii stabiliți prin Programul anual aprobat;</w:t>
      </w:r>
    </w:p>
    <w:p>
      <w:pPr>
        <w:pStyle w:val="ListParagraph"/>
        <w:numPr>
          <w:ilvl w:val="0"/>
          <w:numId w:val="3"/>
        </w:numPr>
        <w:ind w:left="0" w:firstLine="426"/>
        <w:jc w:val="both"/>
        <w:rPr>
          <w:sz w:val="20"/>
          <w:szCs w:val="20"/>
        </w:rPr>
      </w:pPr>
      <w:r>
        <w:rPr>
          <w:sz w:val="20"/>
          <w:szCs w:val="20"/>
        </w:rPr>
        <w:t>Tratarea reclamațiilor beneficiarilor în termen de maximum 24 de ore pentru urgențe și 5 zile lucrătoare pentru sesizări obișnuite;</w:t>
      </w:r>
    </w:p>
    <w:p>
      <w:pPr>
        <w:pStyle w:val="ListParagraph"/>
        <w:numPr>
          <w:ilvl w:val="0"/>
          <w:numId w:val="3"/>
        </w:numPr>
        <w:ind w:left="0" w:firstLine="426"/>
        <w:jc w:val="both"/>
        <w:rPr>
          <w:sz w:val="20"/>
          <w:szCs w:val="20"/>
        </w:rPr>
      </w:pPr>
      <w:r>
        <w:rPr>
          <w:sz w:val="20"/>
          <w:szCs w:val="20"/>
        </w:rPr>
        <w:t>Respectarea integrală a prevederilor autorizației de mediu și ale licențelor A.N.R.S.C.</w:t>
      </w:r>
    </w:p>
    <w:p>
      <w:pPr>
        <w:pStyle w:val="Heading2"/>
        <w:spacing w:before="0" w:after="0"/>
        <w:contextualSpacing/>
        <w:jc w:val="both"/>
        <w:rPr>
          <w:rFonts w:ascii="Times New Roman" w:hAnsi="Times New Roman" w:cs="Times New Roman"/>
          <w:color w:val="auto"/>
          <w:sz w:val="20"/>
          <w:szCs w:val="20"/>
        </w:rPr>
      </w:pPr>
      <w:bookmarkStart w:id="12" w:name="_Toc713"/>
      <w:r>
        <w:rPr>
          <w:rFonts w:cs="Times New Roman" w:ascii="Times New Roman" w:hAnsi="Times New Roman"/>
          <w:b/>
          <w:bCs/>
          <w:color w:val="auto"/>
          <w:sz w:val="20"/>
          <w:szCs w:val="20"/>
        </w:rPr>
        <w:t>VI.3. Investiții și modernizarea parcului tehnic</w:t>
      </w:r>
      <w:bookmarkEnd w:id="12"/>
    </w:p>
    <w:p>
      <w:pPr>
        <w:pStyle w:val="ListParagraph"/>
        <w:ind w:left="0" w:hanging="0"/>
        <w:jc w:val="both"/>
        <w:rPr>
          <w:sz w:val="20"/>
          <w:szCs w:val="20"/>
        </w:rPr>
      </w:pPr>
      <w:r>
        <w:rPr>
          <w:sz w:val="20"/>
          <w:szCs w:val="20"/>
        </w:rPr>
      </w:r>
    </w:p>
    <w:p>
      <w:pPr>
        <w:pStyle w:val="ListParagraph"/>
        <w:numPr>
          <w:ilvl w:val="0"/>
          <w:numId w:val="3"/>
        </w:numPr>
        <w:ind w:left="0" w:firstLine="567"/>
        <w:jc w:val="both"/>
        <w:rPr>
          <w:sz w:val="20"/>
          <w:szCs w:val="20"/>
        </w:rPr>
      </w:pPr>
      <w:r>
        <w:rPr>
          <w:sz w:val="20"/>
          <w:szCs w:val="20"/>
        </w:rPr>
        <w:t>Elaborarea și implementarea unui Program de investiții multianual 2026–2030, realist și prioritizat;</w:t>
      </w:r>
    </w:p>
    <w:p>
      <w:pPr>
        <w:pStyle w:val="ListParagraph"/>
        <w:numPr>
          <w:ilvl w:val="0"/>
          <w:numId w:val="3"/>
        </w:numPr>
        <w:ind w:left="0" w:firstLine="567"/>
        <w:jc w:val="both"/>
        <w:rPr>
          <w:sz w:val="20"/>
          <w:szCs w:val="20"/>
        </w:rPr>
      </w:pPr>
      <w:r>
        <w:rPr>
          <w:sz w:val="20"/>
          <w:szCs w:val="20"/>
        </w:rPr>
        <w:t>Prioritizarea achizițiilor de echipamente de salubrizare – autovehicule multifuncționale, măturătoare stradale, echipamente de deszăpezire – și de eficiență energetică în iluminatul public;</w:t>
      </w:r>
    </w:p>
    <w:p>
      <w:pPr>
        <w:pStyle w:val="ListParagraph"/>
        <w:numPr>
          <w:ilvl w:val="0"/>
          <w:numId w:val="3"/>
        </w:numPr>
        <w:ind w:left="0" w:firstLine="567"/>
        <w:jc w:val="both"/>
        <w:rPr>
          <w:sz w:val="20"/>
          <w:szCs w:val="20"/>
        </w:rPr>
      </w:pPr>
      <w:r>
        <w:rPr>
          <w:sz w:val="20"/>
          <w:szCs w:val="20"/>
        </w:rPr>
        <w:t>Identificarea și accesarea surselor de finanțare nerambursabilă pentru modernizarea infrastructurii;</w:t>
      </w:r>
    </w:p>
    <w:p>
      <w:pPr>
        <w:pStyle w:val="ListParagraph"/>
        <w:numPr>
          <w:ilvl w:val="0"/>
          <w:numId w:val="3"/>
        </w:numPr>
        <w:ind w:left="0" w:firstLine="567"/>
        <w:jc w:val="both"/>
        <w:rPr>
          <w:sz w:val="20"/>
          <w:szCs w:val="20"/>
        </w:rPr>
      </w:pPr>
      <w:r>
        <w:rPr>
          <w:sz w:val="20"/>
          <w:szCs w:val="20"/>
        </w:rPr>
        <w:t>Asigurarea unui grad de realizare a investițiilor de minimum 80% din programul anual aprobat;</w:t>
      </w:r>
    </w:p>
    <w:p>
      <w:pPr>
        <w:pStyle w:val="ListParagraph"/>
        <w:numPr>
          <w:ilvl w:val="0"/>
          <w:numId w:val="3"/>
        </w:numPr>
        <w:ind w:left="0" w:firstLine="567"/>
        <w:jc w:val="both"/>
        <w:rPr>
          <w:sz w:val="20"/>
          <w:szCs w:val="20"/>
        </w:rPr>
      </w:pPr>
      <w:r>
        <w:rPr>
          <w:sz w:val="20"/>
          <w:szCs w:val="20"/>
        </w:rPr>
        <w:t>Respectarea normelor de protecție a mediului și promovarea practicilor sustenabile.</w:t>
      </w:r>
    </w:p>
    <w:p>
      <w:pPr>
        <w:pStyle w:val="Heading2"/>
        <w:spacing w:before="0" w:after="0"/>
        <w:contextualSpacing/>
        <w:jc w:val="both"/>
        <w:rPr>
          <w:rFonts w:ascii="Times New Roman" w:hAnsi="Times New Roman" w:cs="Times New Roman"/>
          <w:b/>
          <w:bCs/>
          <w:color w:val="auto"/>
          <w:sz w:val="20"/>
          <w:szCs w:val="20"/>
        </w:rPr>
      </w:pPr>
      <w:r>
        <w:rPr>
          <w:rFonts w:cs="Times New Roman" w:ascii="Times New Roman" w:hAnsi="Times New Roman"/>
          <w:b/>
          <w:bCs/>
          <w:color w:val="auto"/>
          <w:sz w:val="20"/>
          <w:szCs w:val="20"/>
        </w:rPr>
      </w:r>
    </w:p>
    <w:p>
      <w:pPr>
        <w:pStyle w:val="Heading2"/>
        <w:spacing w:before="0" w:after="0"/>
        <w:contextualSpacing/>
        <w:jc w:val="both"/>
        <w:rPr>
          <w:rFonts w:ascii="Times New Roman" w:hAnsi="Times New Roman" w:cs="Times New Roman"/>
          <w:color w:val="auto"/>
          <w:sz w:val="20"/>
          <w:szCs w:val="20"/>
        </w:rPr>
      </w:pPr>
      <w:bookmarkStart w:id="13" w:name="_Toc714"/>
      <w:r>
        <w:rPr>
          <w:rFonts w:cs="Times New Roman" w:ascii="Times New Roman" w:hAnsi="Times New Roman"/>
          <w:b/>
          <w:bCs/>
          <w:color w:val="auto"/>
          <w:sz w:val="20"/>
          <w:szCs w:val="20"/>
        </w:rPr>
        <w:t>VI.4. Resurse umane și formare profesională</w:t>
      </w:r>
      <w:bookmarkEnd w:id="13"/>
    </w:p>
    <w:p>
      <w:pPr>
        <w:pStyle w:val="ListParagraph"/>
        <w:ind w:left="0" w:hanging="0"/>
        <w:jc w:val="both"/>
        <w:rPr>
          <w:sz w:val="20"/>
          <w:szCs w:val="20"/>
        </w:rPr>
      </w:pPr>
      <w:r>
        <w:rPr>
          <w:sz w:val="20"/>
          <w:szCs w:val="20"/>
        </w:rPr>
      </w:r>
    </w:p>
    <w:p>
      <w:pPr>
        <w:pStyle w:val="ListParagraph"/>
        <w:numPr>
          <w:ilvl w:val="0"/>
          <w:numId w:val="3"/>
        </w:numPr>
        <w:ind w:left="0" w:firstLine="567"/>
        <w:jc w:val="both"/>
        <w:rPr>
          <w:sz w:val="20"/>
          <w:szCs w:val="20"/>
        </w:rPr>
      </w:pPr>
      <w:r>
        <w:rPr>
          <w:sz w:val="20"/>
          <w:szCs w:val="20"/>
        </w:rPr>
        <w:t>Menținerea și optimizarea numărului de personal calificat necesar prestării serviciilor delegate;</w:t>
      </w:r>
    </w:p>
    <w:p>
      <w:pPr>
        <w:pStyle w:val="ListParagraph"/>
        <w:numPr>
          <w:ilvl w:val="0"/>
          <w:numId w:val="3"/>
        </w:numPr>
        <w:ind w:left="0" w:firstLine="567"/>
        <w:jc w:val="both"/>
        <w:rPr>
          <w:sz w:val="20"/>
          <w:szCs w:val="20"/>
        </w:rPr>
      </w:pPr>
      <w:r>
        <w:rPr>
          <w:sz w:val="20"/>
          <w:szCs w:val="20"/>
        </w:rPr>
        <w:t>Asigurarea unui minimum de 18 ore de formare profesională pe angajat și pe an;</w:t>
      </w:r>
    </w:p>
    <w:p>
      <w:pPr>
        <w:pStyle w:val="ListParagraph"/>
        <w:numPr>
          <w:ilvl w:val="0"/>
          <w:numId w:val="3"/>
        </w:numPr>
        <w:ind w:left="0" w:firstLine="567"/>
        <w:jc w:val="both"/>
        <w:rPr>
          <w:sz w:val="20"/>
          <w:szCs w:val="20"/>
        </w:rPr>
      </w:pPr>
      <w:r>
        <w:rPr>
          <w:sz w:val="20"/>
          <w:szCs w:val="20"/>
        </w:rPr>
        <w:t>Implementarea unui sistem de evaluare a performanței individuale, corelat cu componenta variabilă de remunerare a conducerii executive;</w:t>
      </w:r>
    </w:p>
    <w:p>
      <w:pPr>
        <w:pStyle w:val="ListParagraph"/>
        <w:numPr>
          <w:ilvl w:val="0"/>
          <w:numId w:val="3"/>
        </w:numPr>
        <w:ind w:left="0" w:firstLine="567"/>
        <w:jc w:val="both"/>
        <w:rPr>
          <w:sz w:val="20"/>
          <w:szCs w:val="20"/>
        </w:rPr>
      </w:pPr>
      <w:r>
        <w:rPr>
          <w:sz w:val="20"/>
          <w:szCs w:val="20"/>
        </w:rPr>
        <w:t>Menținerea obiectivului de zero accidente de muncă și respectarea normelor de securitate și sănătate în muncă;</w:t>
      </w:r>
    </w:p>
    <w:p>
      <w:pPr>
        <w:pStyle w:val="ListParagraph"/>
        <w:numPr>
          <w:ilvl w:val="0"/>
          <w:numId w:val="3"/>
        </w:numPr>
        <w:ind w:left="0" w:firstLine="567"/>
        <w:jc w:val="both"/>
        <w:rPr>
          <w:sz w:val="20"/>
          <w:szCs w:val="20"/>
        </w:rPr>
      </w:pPr>
      <w:r>
        <w:rPr>
          <w:sz w:val="20"/>
          <w:szCs w:val="20"/>
        </w:rPr>
        <w:t>Ocuparea posturilor vacante și negocierea unui nou contract colectiv de muncă;</w:t>
      </w:r>
    </w:p>
    <w:p>
      <w:pPr>
        <w:pStyle w:val="ListParagraph"/>
        <w:numPr>
          <w:ilvl w:val="0"/>
          <w:numId w:val="3"/>
        </w:numPr>
        <w:ind w:left="0" w:firstLine="567"/>
        <w:jc w:val="both"/>
        <w:rPr>
          <w:sz w:val="20"/>
          <w:szCs w:val="20"/>
        </w:rPr>
      </w:pPr>
      <w:r>
        <w:rPr>
          <w:sz w:val="20"/>
          <w:szCs w:val="20"/>
        </w:rPr>
        <w:t>Respectarea obligației privind angajarea persoanelor cu handicap, conform Legii nr. 448/2006.</w:t>
      </w:r>
    </w:p>
    <w:p>
      <w:pPr>
        <w:pStyle w:val="Heading2"/>
        <w:spacing w:before="0" w:after="0"/>
        <w:contextualSpacing/>
        <w:jc w:val="both"/>
        <w:rPr>
          <w:rFonts w:ascii="Times New Roman" w:hAnsi="Times New Roman" w:cs="Times New Roman"/>
          <w:b/>
          <w:bCs/>
          <w:color w:val="auto"/>
          <w:sz w:val="20"/>
          <w:szCs w:val="20"/>
        </w:rPr>
      </w:pPr>
      <w:r>
        <w:rPr>
          <w:rFonts w:cs="Times New Roman" w:ascii="Times New Roman" w:hAnsi="Times New Roman"/>
          <w:b/>
          <w:bCs/>
          <w:color w:val="auto"/>
          <w:sz w:val="20"/>
          <w:szCs w:val="20"/>
        </w:rPr>
      </w:r>
    </w:p>
    <w:p>
      <w:pPr>
        <w:pStyle w:val="Heading2"/>
        <w:spacing w:before="0" w:after="0"/>
        <w:contextualSpacing/>
        <w:jc w:val="both"/>
        <w:rPr>
          <w:rFonts w:ascii="Times New Roman" w:hAnsi="Times New Roman" w:cs="Times New Roman"/>
          <w:color w:val="auto"/>
          <w:sz w:val="20"/>
          <w:szCs w:val="20"/>
        </w:rPr>
      </w:pPr>
      <w:bookmarkStart w:id="14" w:name="_Toc715"/>
      <w:r>
        <w:rPr>
          <w:rFonts w:cs="Times New Roman" w:ascii="Times New Roman" w:hAnsi="Times New Roman"/>
          <w:b/>
          <w:bCs/>
          <w:color w:val="auto"/>
          <w:sz w:val="20"/>
          <w:szCs w:val="20"/>
        </w:rPr>
        <w:t>VI.5. Guvernanță corporativă și transparență</w:t>
      </w:r>
      <w:bookmarkEnd w:id="14"/>
    </w:p>
    <w:p>
      <w:pPr>
        <w:pStyle w:val="ListParagraph"/>
        <w:ind w:left="0" w:firstLine="567"/>
        <w:jc w:val="both"/>
        <w:rPr>
          <w:sz w:val="20"/>
          <w:szCs w:val="20"/>
        </w:rPr>
      </w:pPr>
      <w:r>
        <w:rPr>
          <w:sz w:val="20"/>
          <w:szCs w:val="20"/>
        </w:rPr>
      </w:r>
    </w:p>
    <w:p>
      <w:pPr>
        <w:pStyle w:val="ListParagraph"/>
        <w:numPr>
          <w:ilvl w:val="0"/>
          <w:numId w:val="3"/>
        </w:numPr>
        <w:ind w:left="0" w:firstLine="567"/>
        <w:jc w:val="both"/>
        <w:rPr>
          <w:sz w:val="20"/>
          <w:szCs w:val="20"/>
        </w:rPr>
      </w:pPr>
      <w:r>
        <w:rPr>
          <w:sz w:val="20"/>
          <w:szCs w:val="20"/>
        </w:rPr>
        <w:t>Respectarea obligațiilor de raportare față de Autoritatea Publică Tutelară și A.M.E.P.I.P.;</w:t>
      </w:r>
    </w:p>
    <w:p>
      <w:pPr>
        <w:pStyle w:val="ListParagraph"/>
        <w:numPr>
          <w:ilvl w:val="0"/>
          <w:numId w:val="3"/>
        </w:numPr>
        <w:ind w:left="0" w:firstLine="567"/>
        <w:jc w:val="both"/>
        <w:rPr>
          <w:sz w:val="20"/>
          <w:szCs w:val="20"/>
        </w:rPr>
      </w:pPr>
      <w:r>
        <w:rPr>
          <w:sz w:val="20"/>
          <w:szCs w:val="20"/>
        </w:rPr>
        <w:t>Elaborarea și transmiterea Planului de administrare în termen de 30 de zile de la numire, conform art. 30 alin. (1) din O.U.G. nr. 109/2011;</w:t>
      </w:r>
    </w:p>
    <w:p>
      <w:pPr>
        <w:pStyle w:val="ListParagraph"/>
        <w:numPr>
          <w:ilvl w:val="0"/>
          <w:numId w:val="3"/>
        </w:numPr>
        <w:ind w:left="0" w:firstLine="567"/>
        <w:jc w:val="both"/>
        <w:rPr>
          <w:sz w:val="20"/>
          <w:szCs w:val="20"/>
        </w:rPr>
      </w:pPr>
      <w:r>
        <w:rPr>
          <w:sz w:val="20"/>
          <w:szCs w:val="20"/>
        </w:rPr>
        <w:t>Constituirea și funcționarea efectivă a Comitetului de audit și a Comitetului de nominalizare și remunerare;</w:t>
      </w:r>
    </w:p>
    <w:p>
      <w:pPr>
        <w:pStyle w:val="ListParagraph"/>
        <w:numPr>
          <w:ilvl w:val="0"/>
          <w:numId w:val="3"/>
        </w:numPr>
        <w:ind w:left="0" w:firstLine="567"/>
        <w:jc w:val="both"/>
        <w:rPr>
          <w:sz w:val="20"/>
          <w:szCs w:val="20"/>
        </w:rPr>
      </w:pPr>
      <w:r>
        <w:rPr>
          <w:sz w:val="20"/>
          <w:szCs w:val="20"/>
        </w:rPr>
        <w:t>Organizarea a minimum 4 ședințe ale Consiliului de Administrație pe an, cu rată de participare de 100%;</w:t>
      </w:r>
    </w:p>
    <w:p>
      <w:pPr>
        <w:pStyle w:val="ListParagraph"/>
        <w:numPr>
          <w:ilvl w:val="0"/>
          <w:numId w:val="3"/>
        </w:numPr>
        <w:ind w:left="0" w:firstLine="567"/>
        <w:jc w:val="both"/>
        <w:rPr>
          <w:sz w:val="20"/>
          <w:szCs w:val="20"/>
        </w:rPr>
      </w:pPr>
      <w:r>
        <w:rPr>
          <w:sz w:val="20"/>
          <w:szCs w:val="20"/>
        </w:rPr>
        <w:t>Menținerea unei pagini web actualizate cu toate informațiile obligatorii prevăzute de O.U.G. nr. 109/2011;</w:t>
      </w:r>
    </w:p>
    <w:p>
      <w:pPr>
        <w:pStyle w:val="ListParagraph"/>
        <w:numPr>
          <w:ilvl w:val="0"/>
          <w:numId w:val="3"/>
        </w:numPr>
        <w:ind w:left="0" w:firstLine="567"/>
        <w:jc w:val="both"/>
        <w:rPr>
          <w:sz w:val="20"/>
          <w:szCs w:val="20"/>
        </w:rPr>
      </w:pPr>
      <w:r>
        <w:rPr>
          <w:sz w:val="20"/>
          <w:szCs w:val="20"/>
        </w:rPr>
        <w:t>Implementarea și menținerea Sistemului de Control Intern Managerial.</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15" w:name="_Toc716"/>
      <w:r>
        <w:rPr>
          <w:sz w:val="20"/>
          <w:szCs w:val="20"/>
        </w:rPr>
        <w:t>VII. POLITICA DE DIVIDENDE</w:t>
      </w:r>
      <w:bookmarkEnd w:id="15"/>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Profitul contabil net al fiecărui exercițiu financiar se repartizează conform O.G. nr. 64/2001, cu următoarele destinații principale: rezerve legale, în limita a 5% din profitul brut, până la atingerea a o cincime din capitalul social; acoperirea pierderilor contabile din anii precedenți, dacă este cazul; constituirea de surse proprii de finanțare a investițiilor; vărsăminte la bugetul local; participarea salariaților la profit, conform bugetului aprobat.</w:t>
      </w:r>
    </w:p>
    <w:p>
      <w:pPr>
        <w:pStyle w:val="Normal"/>
        <w:spacing w:before="0" w:after="0"/>
        <w:ind w:firstLine="708"/>
        <w:contextualSpacing/>
        <w:jc w:val="both"/>
        <w:rPr>
          <w:sz w:val="20"/>
          <w:szCs w:val="20"/>
        </w:rPr>
      </w:pPr>
      <w:r>
        <w:rPr>
          <w:sz w:val="20"/>
          <w:szCs w:val="20"/>
        </w:rPr>
        <w:t>Asociatul Unic solicită distribuirea unui dividend anual de 50% din profitul net al exercițiului financiar, nivel corespunzător ratei de distribuire stabilite prin Ordinul A.M.E.P.I.P. nr. 651/2024. Propunerea de distribuire se formulează de către Consiliul de Administrație odată cu aprobarea situațiilor financiare anuale, cu respectarea obligației de menținere a echilibrului financiar al societății.</w:t>
      </w:r>
    </w:p>
    <w:p>
      <w:pPr>
        <w:pStyle w:val="Normal"/>
        <w:spacing w:before="0" w:after="0"/>
        <w:ind w:firstLine="708"/>
        <w:contextualSpacing/>
        <w:jc w:val="both"/>
        <w:rPr>
          <w:sz w:val="20"/>
          <w:szCs w:val="20"/>
        </w:rPr>
      </w:pPr>
      <w:r>
        <w:rPr>
          <w:sz w:val="20"/>
          <w:szCs w:val="20"/>
        </w:rPr>
        <w:t>Autoritatea Publică Tutelară nu urmărește maximizarea profitului pe termen scurt, ci asigurarea sustenabilității pe termen lung a serviciilor publice, prin reinvestirea diferenței de 50% din profitul net în modernizarea parcului tehnic.</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16" w:name="_Toc717"/>
      <w:r>
        <w:rPr>
          <w:sz w:val="20"/>
          <w:szCs w:val="20"/>
        </w:rPr>
        <w:t>VIII. POLITICA DE INVESTIȚII</w:t>
      </w:r>
      <w:bookmarkEnd w:id="16"/>
    </w:p>
    <w:p>
      <w:pPr>
        <w:pStyle w:val="Normal"/>
        <w:spacing w:before="0" w:after="0"/>
        <w:ind w:firstLine="708"/>
        <w:contextualSpacing/>
        <w:jc w:val="both"/>
        <w:rPr>
          <w:sz w:val="20"/>
          <w:szCs w:val="20"/>
        </w:rPr>
      </w:pPr>
      <w:r>
        <w:rPr>
          <w:sz w:val="20"/>
          <w:szCs w:val="20"/>
        </w:rPr>
      </w:r>
    </w:p>
    <w:p>
      <w:pPr>
        <w:pStyle w:val="Normal"/>
        <w:spacing w:before="0" w:after="0"/>
        <w:ind w:firstLine="567"/>
        <w:contextualSpacing/>
        <w:jc w:val="both"/>
        <w:rPr>
          <w:sz w:val="20"/>
          <w:szCs w:val="20"/>
        </w:rPr>
      </w:pPr>
      <w:r>
        <w:rPr>
          <w:sz w:val="20"/>
          <w:szCs w:val="20"/>
        </w:rPr>
        <w:t>Politica de investiții va fi corelată cu obiectivele strategice și cu nevoile operaționale ale societății. Principalele direcții de investiții pentru mandatul 2026–2030 vizează:</w:t>
      </w:r>
    </w:p>
    <w:p>
      <w:pPr>
        <w:pStyle w:val="ListParagraph"/>
        <w:numPr>
          <w:ilvl w:val="0"/>
          <w:numId w:val="3"/>
        </w:numPr>
        <w:ind w:left="567" w:hanging="0"/>
        <w:jc w:val="both"/>
        <w:rPr>
          <w:sz w:val="20"/>
          <w:szCs w:val="20"/>
        </w:rPr>
      </w:pPr>
      <w:r>
        <w:rPr>
          <w:sz w:val="20"/>
          <w:szCs w:val="20"/>
        </w:rPr>
        <w:t>achiziția de utilaje pentru salubrizare stradală: mașini de măturat, spălat și stropit, echipamente de deszăpezire, autovehicule multifuncționale;</w:t>
      </w:r>
    </w:p>
    <w:p>
      <w:pPr>
        <w:pStyle w:val="ListParagraph"/>
        <w:numPr>
          <w:ilvl w:val="0"/>
          <w:numId w:val="3"/>
        </w:numPr>
        <w:ind w:left="567" w:hanging="0"/>
        <w:jc w:val="both"/>
        <w:rPr>
          <w:sz w:val="20"/>
          <w:szCs w:val="20"/>
        </w:rPr>
      </w:pPr>
      <w:r>
        <w:rPr>
          <w:sz w:val="20"/>
          <w:szCs w:val="20"/>
        </w:rPr>
        <w:t>modernizarea și extinderea sistemului de iluminat public, prin înlocuirea corpurilor de iluminat cu tehnologie LED și extinderea sistemului de telegestiune;</w:t>
      </w:r>
    </w:p>
    <w:p>
      <w:pPr>
        <w:pStyle w:val="ListParagraph"/>
        <w:numPr>
          <w:ilvl w:val="0"/>
          <w:numId w:val="3"/>
        </w:numPr>
        <w:ind w:left="567" w:hanging="0"/>
        <w:jc w:val="both"/>
        <w:rPr>
          <w:sz w:val="20"/>
          <w:szCs w:val="20"/>
        </w:rPr>
      </w:pPr>
      <w:r>
        <w:rPr>
          <w:sz w:val="20"/>
          <w:szCs w:val="20"/>
        </w:rPr>
        <w:t>achiziția de vehicule speciale de tip nacelă pentru intervenții la sistemul de iluminat public;</w:t>
      </w:r>
    </w:p>
    <w:p>
      <w:pPr>
        <w:pStyle w:val="ListParagraph"/>
        <w:numPr>
          <w:ilvl w:val="0"/>
          <w:numId w:val="3"/>
        </w:numPr>
        <w:ind w:left="567" w:hanging="0"/>
        <w:jc w:val="both"/>
        <w:rPr>
          <w:sz w:val="20"/>
          <w:szCs w:val="20"/>
        </w:rPr>
      </w:pPr>
      <w:r>
        <w:rPr>
          <w:sz w:val="20"/>
          <w:szCs w:val="20"/>
        </w:rPr>
        <w:t>dotarea cu echipamente specifice activității de dezinsecție, dezinfecție și deratizare;</w:t>
      </w:r>
    </w:p>
    <w:p>
      <w:pPr>
        <w:pStyle w:val="ListParagraph"/>
        <w:numPr>
          <w:ilvl w:val="0"/>
          <w:numId w:val="3"/>
        </w:numPr>
        <w:ind w:left="567" w:hanging="0"/>
        <w:jc w:val="both"/>
        <w:rPr>
          <w:sz w:val="20"/>
          <w:szCs w:val="20"/>
        </w:rPr>
      </w:pPr>
      <w:r>
        <w:rPr>
          <w:sz w:val="20"/>
          <w:szCs w:val="20"/>
        </w:rPr>
        <w:t>achiziția de vehicule pentru transportul materialelor, deșeurilor și personalului, cu prioritate pentru variante cu emisii reduse;</w:t>
      </w:r>
    </w:p>
    <w:p>
      <w:pPr>
        <w:pStyle w:val="ListParagraph"/>
        <w:numPr>
          <w:ilvl w:val="0"/>
          <w:numId w:val="3"/>
        </w:numPr>
        <w:ind w:left="567" w:hanging="0"/>
        <w:jc w:val="both"/>
        <w:rPr>
          <w:sz w:val="20"/>
          <w:szCs w:val="20"/>
        </w:rPr>
      </w:pPr>
      <w:r>
        <w:rPr>
          <w:sz w:val="20"/>
          <w:szCs w:val="20"/>
        </w:rPr>
        <w:t>investiții în infrastructura digitală de management operațional.</w:t>
      </w:r>
    </w:p>
    <w:p>
      <w:pPr>
        <w:pStyle w:val="Normal"/>
        <w:spacing w:before="0" w:after="0"/>
        <w:ind w:firstLine="567"/>
        <w:contextualSpacing/>
        <w:jc w:val="both"/>
        <w:rPr>
          <w:sz w:val="20"/>
          <w:szCs w:val="20"/>
        </w:rPr>
      </w:pPr>
      <w:r>
        <w:rPr>
          <w:sz w:val="20"/>
          <w:szCs w:val="20"/>
        </w:rPr>
        <w:t>Sursele de finanțare vor include amortizarea, profitul reinvestit, leasingul financiar, fondurile naționale și europene nerambursabile. Consiliul de Administrație va elabora un Program anual și multianual de investiții, supus aprobării Asociatului Unic odată cu Bugetul de venituri și cheltuieli, iar gradul de realizare va fi raportat semestrial Autorității Publice Tutelare.</w:t>
      </w:r>
    </w:p>
    <w:p>
      <w:pPr>
        <w:pStyle w:val="Heading1"/>
        <w:spacing w:beforeAutospacing="0" w:before="0" w:afterAutospacing="0" w:after="0"/>
        <w:contextualSpacing/>
        <w:jc w:val="both"/>
        <w:rPr>
          <w:sz w:val="20"/>
          <w:szCs w:val="20"/>
        </w:rPr>
      </w:pPr>
      <w:r>
        <w:rPr>
          <w:sz w:val="20"/>
          <w:szCs w:val="20"/>
        </w:rPr>
      </w:r>
    </w:p>
    <w:p>
      <w:pPr>
        <w:pStyle w:val="Normal"/>
        <w:rPr/>
      </w:pPr>
      <w:r>
        <w:rPr/>
      </w:r>
    </w:p>
    <w:p>
      <w:pPr>
        <w:pStyle w:val="Normal"/>
        <w:rPr/>
      </w:pPr>
      <w:r>
        <w:rPr/>
      </w:r>
    </w:p>
    <w:p>
      <w:pPr>
        <w:pStyle w:val="Normal"/>
        <w:rPr/>
      </w:pPr>
      <w:r>
        <w:rPr/>
      </w:r>
    </w:p>
    <w:p>
      <w:pPr>
        <w:pStyle w:val="Normal"/>
        <w:rPr/>
      </w:pPr>
      <w:r>
        <w:rPr/>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17" w:name="_Toc718"/>
      <w:r>
        <w:rPr>
          <w:sz w:val="20"/>
          <w:szCs w:val="20"/>
        </w:rPr>
        <w:t>IX. COMUNICAREA CU ORGANELE DE ADMINISTRARE</w:t>
      </w:r>
      <w:bookmarkEnd w:id="17"/>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Autoritatea Publică Tutelară stabilește următoarele așteptări privind comunicarea:</w:t>
      </w:r>
    </w:p>
    <w:p>
      <w:pPr>
        <w:pStyle w:val="ListParagraph"/>
        <w:numPr>
          <w:ilvl w:val="0"/>
          <w:numId w:val="3"/>
        </w:numPr>
        <w:ind w:left="567" w:hanging="0"/>
        <w:jc w:val="both"/>
        <w:rPr>
          <w:sz w:val="20"/>
          <w:szCs w:val="20"/>
        </w:rPr>
      </w:pPr>
      <w:r>
        <w:rPr>
          <w:sz w:val="20"/>
          <w:szCs w:val="20"/>
        </w:rPr>
        <w:t>Consiliul de Administrație va prezenta semestrial Autorității Publice Tutelare un raport de activitate privind gradul de îndeplinire a obiectivelor din Planul de administrare, situația economico-financiară, calitatea serviciilor prestate și analiza realizării indicatorilor-cheie de performanță aprobați;</w:t>
      </w:r>
    </w:p>
    <w:p>
      <w:pPr>
        <w:pStyle w:val="ListParagraph"/>
        <w:numPr>
          <w:ilvl w:val="0"/>
          <w:numId w:val="3"/>
        </w:numPr>
        <w:ind w:left="567" w:hanging="0"/>
        <w:jc w:val="both"/>
        <w:rPr>
          <w:sz w:val="20"/>
          <w:szCs w:val="20"/>
        </w:rPr>
      </w:pPr>
      <w:r>
        <w:rPr>
          <w:sz w:val="20"/>
          <w:szCs w:val="20"/>
        </w:rPr>
        <w:t>raportul anual al Consiliului de Administrație, împreună cu situațiile financiare, va fi prezentat Adunării Generale a Asociaților în termenele prevăzute de lege;</w:t>
      </w:r>
    </w:p>
    <w:p>
      <w:pPr>
        <w:pStyle w:val="ListParagraph"/>
        <w:numPr>
          <w:ilvl w:val="0"/>
          <w:numId w:val="3"/>
        </w:numPr>
        <w:ind w:left="567" w:hanging="0"/>
        <w:jc w:val="both"/>
        <w:rPr>
          <w:sz w:val="20"/>
          <w:szCs w:val="20"/>
        </w:rPr>
      </w:pPr>
      <w:r>
        <w:rPr>
          <w:sz w:val="20"/>
          <w:szCs w:val="20"/>
        </w:rPr>
        <w:t>orice eveniment semnificativ cu impact asupra activității sau patrimoniului societății va fi comunicat Autorității Publice Tutelare în termen de maximum 5 zile lucrătoare;</w:t>
      </w:r>
    </w:p>
    <w:p>
      <w:pPr>
        <w:pStyle w:val="ListParagraph"/>
        <w:numPr>
          <w:ilvl w:val="0"/>
          <w:numId w:val="3"/>
        </w:numPr>
        <w:ind w:left="567" w:hanging="0"/>
        <w:jc w:val="both"/>
        <w:rPr>
          <w:sz w:val="20"/>
          <w:szCs w:val="20"/>
        </w:rPr>
      </w:pPr>
      <w:r>
        <w:rPr>
          <w:sz w:val="20"/>
          <w:szCs w:val="20"/>
        </w:rPr>
        <w:t>propunerile de modificare a bugetului de venituri și cheltuieli, a regulamentului de organizare și funcționare sau a altor documente strategice vor fi transmise Autorității Publice Tutelare înainte de ședințele Consiliului Local;</w:t>
      </w:r>
    </w:p>
    <w:p>
      <w:pPr>
        <w:pStyle w:val="ListParagraph"/>
        <w:numPr>
          <w:ilvl w:val="0"/>
          <w:numId w:val="3"/>
        </w:numPr>
        <w:ind w:left="567" w:hanging="0"/>
        <w:jc w:val="both"/>
        <w:rPr>
          <w:sz w:val="20"/>
          <w:szCs w:val="20"/>
        </w:rPr>
      </w:pPr>
      <w:r>
        <w:rPr>
          <w:sz w:val="20"/>
          <w:szCs w:val="20"/>
        </w:rPr>
        <w:t>relația cu organele de conducere va fi fundamentată pe transparență, bună-credință și comunicare permanentă.</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18" w:name="_Toc719"/>
      <w:r>
        <w:rPr>
          <w:sz w:val="20"/>
          <w:szCs w:val="20"/>
        </w:rPr>
        <w:t>X. INDICATORI-CHEIE DE PERFORMANȚĂ (ICP)</w:t>
      </w:r>
      <w:bookmarkEnd w:id="18"/>
    </w:p>
    <w:p>
      <w:pPr>
        <w:pStyle w:val="Heading2"/>
        <w:spacing w:before="0" w:after="0"/>
        <w:contextualSpacing/>
        <w:jc w:val="both"/>
        <w:rPr>
          <w:rFonts w:ascii="Times New Roman" w:hAnsi="Times New Roman" w:cs="Times New Roman"/>
          <w:b/>
          <w:bCs/>
          <w:color w:val="auto"/>
          <w:sz w:val="20"/>
          <w:szCs w:val="20"/>
        </w:rPr>
      </w:pPr>
      <w:r>
        <w:rPr>
          <w:rFonts w:cs="Times New Roman" w:ascii="Times New Roman" w:hAnsi="Times New Roman"/>
          <w:b/>
          <w:bCs/>
          <w:color w:val="auto"/>
          <w:sz w:val="20"/>
          <w:szCs w:val="20"/>
        </w:rPr>
      </w:r>
    </w:p>
    <w:p>
      <w:pPr>
        <w:pStyle w:val="Heading2"/>
        <w:spacing w:before="0" w:after="0"/>
        <w:contextualSpacing/>
        <w:jc w:val="both"/>
        <w:rPr>
          <w:rFonts w:ascii="Times New Roman" w:hAnsi="Times New Roman" w:cs="Times New Roman"/>
          <w:color w:val="auto"/>
          <w:sz w:val="20"/>
          <w:szCs w:val="20"/>
        </w:rPr>
      </w:pPr>
      <w:bookmarkStart w:id="19" w:name="_Toc720"/>
      <w:r>
        <w:rPr>
          <w:rFonts w:cs="Times New Roman" w:ascii="Times New Roman" w:hAnsi="Times New Roman"/>
          <w:b/>
          <w:bCs/>
          <w:color w:val="auto"/>
          <w:sz w:val="20"/>
          <w:szCs w:val="20"/>
        </w:rPr>
        <w:t>X.1. Structura și ponderile indicatorilor-cheie de performanță</w:t>
      </w:r>
      <w:bookmarkEnd w:id="19"/>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Indicatorii-cheie de performanță vor fi stabiliți prin negociere între Consiliul de Administrație și Autoritatea Publică Tutelară (UAT Oraşul Pucioasa, pe baza prezentei Scrisori de Așteptări, și vor fi înscriși ca anexă la Contractele de mandat.</w:t>
      </w:r>
    </w:p>
    <w:p>
      <w:pPr>
        <w:pStyle w:val="Normal"/>
        <w:spacing w:before="0" w:after="0"/>
        <w:ind w:firstLine="708"/>
        <w:contextualSpacing/>
        <w:jc w:val="both"/>
        <w:rPr>
          <w:sz w:val="20"/>
          <w:szCs w:val="20"/>
        </w:rPr>
      </w:pPr>
      <w:r>
        <w:rPr>
          <w:sz w:val="20"/>
          <w:szCs w:val="20"/>
        </w:rPr>
        <w:t>În conformitate cu art. 17 alin. (2) din Anexa nr. 2 la H.G. nr. 639/2023, ponderile ICP, care însumate reprezintă o cotă procentuală de 100%, se stabilesc în limitele de 50–75% pentru ICP financiari și 25–50% pentru ICP nefinanciari. Autoritatea Publică Tutelară stabilește, pentru mandatul 2026–2030, o repartizare echilibrată de 50% ICP financiari și 50% ICP nefinanciari, care valorifică integral marja permisă de lege pentru indicatorii operaționali, având în vedere că societatea este un operator de servicii publice al cărui obiect de activitate este definit prin contracte de delegare.</w:t>
      </w:r>
    </w:p>
    <w:p>
      <w:pPr>
        <w:pStyle w:val="Normal"/>
        <w:spacing w:before="0" w:after="0"/>
        <w:ind w:firstLine="708"/>
        <w:contextualSpacing/>
        <w:jc w:val="both"/>
        <w:rPr>
          <w:sz w:val="20"/>
          <w:szCs w:val="20"/>
        </w:rPr>
      </w:pPr>
      <w:r>
        <w:rPr>
          <w:sz w:val="20"/>
          <w:szCs w:val="20"/>
        </w:rPr>
        <w:t>Potrivit art. 17 alin. (2^1) din Anexa nr. 2 la H.G. nr. 639/2023, astfel cum a fost completat prin H.G. nr. 1.053/2025, în categoria ICP nefinanciari se includ și indicatorii orientați către servicii publice, precum și indicatorii referitori la guvernanța corporativă. De asemenea, potrivit art. 9 din același act normativ, autoritățile publice tutelare stabilesc obiective și aprobă indicatori-cheie de performanță atât din rândul categoriilor prevăzute în anexele nr. 2a și 2b, cât și din categoriile indicatorilor de performanță suplimentari, determinați în funcție de specificul și complexitatea întreprinderii publice.</w:t>
      </w:r>
    </w:p>
    <w:p>
      <w:pPr>
        <w:pStyle w:val="Normal"/>
        <w:spacing w:before="0" w:after="0"/>
        <w:ind w:firstLine="708"/>
        <w:contextualSpacing/>
        <w:jc w:val="both"/>
        <w:rPr>
          <w:sz w:val="20"/>
          <w:szCs w:val="20"/>
        </w:rPr>
      </w:pPr>
      <w:r>
        <w:rPr>
          <w:sz w:val="20"/>
          <w:szCs w:val="20"/>
        </w:rPr>
      </w:r>
    </w:p>
    <w:tbl>
      <w:tblPr>
        <w:tblW w:w="5000" w:type="pct"/>
        <w:jc w:val="left"/>
        <w:tblInd w:w="0" w:type="dxa"/>
        <w:tblLayout w:type="fixed"/>
        <w:tblCellMar>
          <w:top w:w="60" w:type="dxa"/>
          <w:left w:w="70" w:type="dxa"/>
          <w:bottom w:w="60" w:type="dxa"/>
          <w:right w:w="70" w:type="dxa"/>
        </w:tblCellMar>
        <w:tblLook w:firstRow="1" w:noVBand="1" w:lastRow="0" w:firstColumn="1" w:lastColumn="0" w:noHBand="0" w:val="04a0"/>
      </w:tblPr>
      <w:tblGrid>
        <w:gridCol w:w="3295"/>
        <w:gridCol w:w="3294"/>
        <w:gridCol w:w="3048"/>
      </w:tblGrid>
      <w:tr>
        <w:trPr>
          <w:tblHeader w:val="true"/>
        </w:trPr>
        <w:tc>
          <w:tcPr>
            <w:tcW w:w="3295" w:type="dxa"/>
            <w:tcBorders>
              <w:top w:val="single" w:sz="4" w:space="0" w:color="8EA9DB"/>
              <w:left w:val="single" w:sz="4" w:space="0" w:color="8EA9DB"/>
              <w:bottom w:val="single" w:sz="2" w:space="0" w:color="B4C6E7"/>
              <w:right w:val="single" w:sz="2" w:space="0" w:color="B4C6E7"/>
            </w:tcBorders>
            <w:vAlign w:val="center"/>
          </w:tcPr>
          <w:p>
            <w:pPr>
              <w:pStyle w:val="Normal"/>
              <w:widowControl w:val="false"/>
              <w:spacing w:before="0" w:after="0"/>
              <w:contextualSpacing/>
              <w:jc w:val="center"/>
              <w:rPr>
                <w:color w:val="000000" w:themeColor="text1"/>
                <w:sz w:val="20"/>
                <w:szCs w:val="20"/>
              </w:rPr>
            </w:pPr>
            <w:r>
              <w:rPr>
                <w:b/>
                <w:bCs/>
                <w:color w:val="000000" w:themeColor="text1"/>
                <w:sz w:val="20"/>
                <w:szCs w:val="20"/>
              </w:rPr>
              <w:t>Categoria de indicatori</w:t>
            </w:r>
          </w:p>
        </w:tc>
        <w:tc>
          <w:tcPr>
            <w:tcW w:w="3294" w:type="dxa"/>
            <w:tcBorders>
              <w:top w:val="single" w:sz="4" w:space="0" w:color="8EA9DB"/>
              <w:left w:val="single" w:sz="2" w:space="0" w:color="B4C6E7"/>
              <w:bottom w:val="single" w:sz="2" w:space="0" w:color="B4C6E7"/>
              <w:right w:val="single" w:sz="2" w:space="0" w:color="B4C6E7"/>
            </w:tcBorders>
            <w:vAlign w:val="center"/>
          </w:tcPr>
          <w:p>
            <w:pPr>
              <w:pStyle w:val="Normal"/>
              <w:widowControl w:val="false"/>
              <w:spacing w:before="0" w:after="0"/>
              <w:contextualSpacing/>
              <w:jc w:val="center"/>
              <w:rPr>
                <w:color w:val="000000" w:themeColor="text1"/>
                <w:sz w:val="20"/>
                <w:szCs w:val="20"/>
              </w:rPr>
            </w:pPr>
            <w:r>
              <w:rPr>
                <w:b/>
                <w:bCs/>
                <w:color w:val="000000" w:themeColor="text1"/>
                <w:sz w:val="20"/>
                <w:szCs w:val="20"/>
              </w:rPr>
              <w:t>Temei</w:t>
            </w:r>
          </w:p>
        </w:tc>
        <w:tc>
          <w:tcPr>
            <w:tcW w:w="3048" w:type="dxa"/>
            <w:tcBorders>
              <w:top w:val="single" w:sz="4" w:space="0" w:color="8EA9DB"/>
              <w:left w:val="single" w:sz="2" w:space="0" w:color="B4C6E7"/>
              <w:bottom w:val="single" w:sz="2" w:space="0" w:color="B4C6E7"/>
              <w:right w:val="single" w:sz="4" w:space="0" w:color="8EA9DB"/>
            </w:tcBorders>
            <w:vAlign w:val="center"/>
          </w:tcPr>
          <w:p>
            <w:pPr>
              <w:pStyle w:val="Normal"/>
              <w:widowControl w:val="false"/>
              <w:spacing w:before="0" w:after="0"/>
              <w:contextualSpacing/>
              <w:jc w:val="center"/>
              <w:rPr>
                <w:color w:val="000000" w:themeColor="text1"/>
                <w:sz w:val="20"/>
                <w:szCs w:val="20"/>
              </w:rPr>
            </w:pPr>
            <w:r>
              <w:rPr>
                <w:b/>
                <w:bCs/>
                <w:color w:val="000000" w:themeColor="text1"/>
                <w:sz w:val="20"/>
                <w:szCs w:val="20"/>
              </w:rPr>
              <w:t>Pondere</w:t>
            </w:r>
          </w:p>
        </w:tc>
      </w:tr>
      <w:tr>
        <w:trPr/>
        <w:tc>
          <w:tcPr>
            <w:tcW w:w="3295"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ICP financiari – 5 categorii obligatorii</w:t>
            </w:r>
          </w:p>
        </w:tc>
        <w:tc>
          <w:tcPr>
            <w:tcW w:w="329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Anexa nr. 2a la H.G. nr. 639/2023</w:t>
            </w:r>
          </w:p>
        </w:tc>
        <w:tc>
          <w:tcPr>
            <w:tcW w:w="3048"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b/>
                <w:bCs/>
                <w:sz w:val="20"/>
                <w:szCs w:val="20"/>
              </w:rPr>
              <w:t>50%</w:t>
            </w:r>
          </w:p>
        </w:tc>
      </w:tr>
      <w:tr>
        <w:trPr/>
        <w:tc>
          <w:tcPr>
            <w:tcW w:w="3295"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b/>
                <w:bCs/>
                <w:sz w:val="20"/>
                <w:szCs w:val="20"/>
              </w:rPr>
              <w:t>ICP nefinanciari, din care:</w:t>
            </w:r>
          </w:p>
        </w:tc>
        <w:tc>
          <w:tcPr>
            <w:tcW w:w="329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Anexa nr. 2b la H.G. nr. 639/2023 și art. 9 coroborat cu art. 17 alin. (2^1)</w:t>
            </w:r>
          </w:p>
        </w:tc>
        <w:tc>
          <w:tcPr>
            <w:tcW w:w="3048"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b/>
                <w:bCs/>
                <w:sz w:val="20"/>
                <w:szCs w:val="20"/>
              </w:rPr>
              <w:t>50%</w:t>
            </w:r>
          </w:p>
        </w:tc>
      </w:tr>
      <w:tr>
        <w:trPr/>
        <w:tc>
          <w:tcPr>
            <w:tcW w:w="3295"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 xml:space="preserve">      – </w:t>
            </w:r>
            <w:r>
              <w:rPr>
                <w:sz w:val="20"/>
                <w:szCs w:val="20"/>
              </w:rPr>
              <w:t>operaționali, orientați către serviciile publice delegate</w:t>
            </w:r>
          </w:p>
        </w:tc>
        <w:tc>
          <w:tcPr>
            <w:tcW w:w="329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indicatori suplimentari, specifici întreprinderii publice</w:t>
            </w:r>
          </w:p>
        </w:tc>
        <w:tc>
          <w:tcPr>
            <w:tcW w:w="3048"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sz w:val="20"/>
                <w:szCs w:val="20"/>
              </w:rPr>
              <w:t>25%</w:t>
            </w:r>
          </w:p>
        </w:tc>
      </w:tr>
      <w:tr>
        <w:trPr/>
        <w:tc>
          <w:tcPr>
            <w:tcW w:w="3295"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 xml:space="preserve">      – </w:t>
            </w:r>
            <w:r>
              <w:rPr>
                <w:sz w:val="20"/>
                <w:szCs w:val="20"/>
              </w:rPr>
              <w:t>de mediu</w:t>
            </w:r>
          </w:p>
        </w:tc>
        <w:tc>
          <w:tcPr>
            <w:tcW w:w="329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Anexa nr. 2b lit. a)</w:t>
            </w:r>
          </w:p>
        </w:tc>
        <w:tc>
          <w:tcPr>
            <w:tcW w:w="3048"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sz w:val="20"/>
                <w:szCs w:val="20"/>
              </w:rPr>
              <w:t>6%</w:t>
            </w:r>
          </w:p>
        </w:tc>
      </w:tr>
      <w:tr>
        <w:trPr/>
        <w:tc>
          <w:tcPr>
            <w:tcW w:w="3295"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 xml:space="preserve">      – </w:t>
            </w:r>
            <w:r>
              <w:rPr>
                <w:sz w:val="20"/>
                <w:szCs w:val="20"/>
              </w:rPr>
              <w:t>referitori la clienți</w:t>
            </w:r>
          </w:p>
        </w:tc>
        <w:tc>
          <w:tcPr>
            <w:tcW w:w="329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Anexa nr. 2b lit. b)</w:t>
            </w:r>
          </w:p>
        </w:tc>
        <w:tc>
          <w:tcPr>
            <w:tcW w:w="3048"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sz w:val="20"/>
                <w:szCs w:val="20"/>
              </w:rPr>
              <w:t>6%</w:t>
            </w:r>
          </w:p>
        </w:tc>
      </w:tr>
      <w:tr>
        <w:trPr/>
        <w:tc>
          <w:tcPr>
            <w:tcW w:w="3295"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 xml:space="preserve">      – </w:t>
            </w:r>
            <w:r>
              <w:rPr>
                <w:sz w:val="20"/>
                <w:szCs w:val="20"/>
              </w:rPr>
              <w:t>referitori la angajați și egalitatea de gen</w:t>
            </w:r>
          </w:p>
        </w:tc>
        <w:tc>
          <w:tcPr>
            <w:tcW w:w="329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Anexa nr. 2b lit. c) și g)</w:t>
            </w:r>
          </w:p>
        </w:tc>
        <w:tc>
          <w:tcPr>
            <w:tcW w:w="3048"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sz w:val="20"/>
                <w:szCs w:val="20"/>
              </w:rPr>
              <w:t>6%</w:t>
            </w:r>
          </w:p>
        </w:tc>
      </w:tr>
      <w:tr>
        <w:trPr/>
        <w:tc>
          <w:tcPr>
            <w:tcW w:w="3295" w:type="dxa"/>
            <w:tcBorders>
              <w:top w:val="single" w:sz="2" w:space="0" w:color="B4C6E7"/>
              <w:left w:val="single" w:sz="4" w:space="0" w:color="8EA9DB"/>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 xml:space="preserve">      – </w:t>
            </w:r>
            <w:r>
              <w:rPr>
                <w:sz w:val="20"/>
                <w:szCs w:val="20"/>
              </w:rPr>
              <w:t>de guvernanță corporativă</w:t>
            </w:r>
          </w:p>
        </w:tc>
        <w:tc>
          <w:tcPr>
            <w:tcW w:w="329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Anexa nr. 2b lit. e)</w:t>
            </w:r>
          </w:p>
        </w:tc>
        <w:tc>
          <w:tcPr>
            <w:tcW w:w="3048"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sz w:val="20"/>
                <w:szCs w:val="20"/>
              </w:rPr>
              <w:t>7%</w:t>
            </w:r>
          </w:p>
        </w:tc>
      </w:tr>
      <w:tr>
        <w:trPr/>
        <w:tc>
          <w:tcPr>
            <w:tcW w:w="3295" w:type="dxa"/>
            <w:tcBorders>
              <w:top w:val="single" w:sz="2" w:space="0" w:color="B4C6E7"/>
              <w:left w:val="single" w:sz="4" w:space="0" w:color="8EA9DB"/>
              <w:bottom w:val="single" w:sz="4" w:space="0" w:color="8EA9DB"/>
              <w:right w:val="single" w:sz="2" w:space="0" w:color="B4C6E7"/>
            </w:tcBorders>
            <w:tcMar>
              <w:top w:w="40" w:type="dxa"/>
              <w:bottom w:w="40" w:type="dxa"/>
            </w:tcMar>
            <w:vAlign w:val="center"/>
          </w:tcPr>
          <w:p>
            <w:pPr>
              <w:pStyle w:val="Normal"/>
              <w:widowControl w:val="false"/>
              <w:spacing w:before="0" w:after="0"/>
              <w:contextualSpacing/>
              <w:jc w:val="center"/>
              <w:rPr>
                <w:sz w:val="20"/>
                <w:szCs w:val="20"/>
              </w:rPr>
            </w:pPr>
            <w:r>
              <w:rPr>
                <w:b/>
                <w:bCs/>
                <w:sz w:val="20"/>
                <w:szCs w:val="20"/>
              </w:rPr>
              <w:t>TOTAL</w:t>
            </w:r>
          </w:p>
        </w:tc>
        <w:tc>
          <w:tcPr>
            <w:tcW w:w="3294" w:type="dxa"/>
            <w:tcBorders>
              <w:top w:val="single" w:sz="2" w:space="0" w:color="B4C6E7"/>
              <w:left w:val="single" w:sz="2" w:space="0" w:color="B4C6E7"/>
              <w:bottom w:val="single" w:sz="4" w:space="0" w:color="8EA9DB"/>
              <w:right w:val="single" w:sz="2" w:space="0" w:color="B4C6E7"/>
            </w:tcBorders>
            <w:tcMar>
              <w:top w:w="40" w:type="dxa"/>
              <w:bottom w:w="40" w:type="dxa"/>
            </w:tcMar>
            <w:vAlign w:val="center"/>
          </w:tcPr>
          <w:p>
            <w:pPr>
              <w:pStyle w:val="Normal"/>
              <w:widowControl w:val="false"/>
              <w:spacing w:before="0" w:after="0"/>
              <w:contextualSpacing/>
              <w:jc w:val="both"/>
              <w:rPr>
                <w:sz w:val="20"/>
                <w:szCs w:val="20"/>
              </w:rPr>
            </w:pPr>
            <w:r>
              <w:rPr>
                <w:sz w:val="20"/>
                <w:szCs w:val="20"/>
              </w:rPr>
              <w:t>art. 17 alin. (2) din Anexa nr. 2 la H.G. nr. 639/2023</w:t>
            </w:r>
          </w:p>
        </w:tc>
        <w:tc>
          <w:tcPr>
            <w:tcW w:w="3048" w:type="dxa"/>
            <w:tcBorders>
              <w:top w:val="single" w:sz="2" w:space="0" w:color="B4C6E7"/>
              <w:left w:val="single" w:sz="2" w:space="0" w:color="B4C6E7"/>
              <w:bottom w:val="single" w:sz="4" w:space="0" w:color="8EA9DB"/>
              <w:right w:val="single" w:sz="4" w:space="0" w:color="8EA9DB"/>
            </w:tcBorders>
            <w:tcMar>
              <w:top w:w="40" w:type="dxa"/>
              <w:bottom w:w="40" w:type="dxa"/>
            </w:tcMar>
            <w:vAlign w:val="center"/>
          </w:tcPr>
          <w:p>
            <w:pPr>
              <w:pStyle w:val="Normal"/>
              <w:widowControl w:val="false"/>
              <w:spacing w:before="0" w:after="0"/>
              <w:contextualSpacing/>
              <w:jc w:val="center"/>
              <w:rPr>
                <w:sz w:val="20"/>
                <w:szCs w:val="20"/>
              </w:rPr>
            </w:pPr>
            <w:r>
              <w:rPr>
                <w:b/>
                <w:bCs/>
                <w:sz w:val="20"/>
                <w:szCs w:val="20"/>
              </w:rPr>
              <w:t>100%</w:t>
            </w:r>
          </w:p>
        </w:tc>
      </w:tr>
    </w:tbl>
    <w:p>
      <w:pPr>
        <w:sectPr>
          <w:footerReference w:type="default" r:id="rId6"/>
          <w:type w:val="nextPage"/>
          <w:pgSz w:w="11906" w:h="16838"/>
          <w:pgMar w:left="1418" w:right="851" w:gutter="0" w:header="0" w:top="851" w:footer="227" w:bottom="851"/>
          <w:pgNumType w:fmt="decimal"/>
          <w:formProt w:val="false"/>
          <w:textDirection w:val="lrTb"/>
          <w:docGrid w:type="default" w:linePitch="360" w:charSpace="0"/>
        </w:sectPr>
      </w:pPr>
    </w:p>
    <w:p>
      <w:pPr>
        <w:pStyle w:val="Heading2"/>
        <w:spacing w:before="0" w:after="0"/>
        <w:contextualSpacing/>
        <w:jc w:val="both"/>
        <w:rPr>
          <w:rFonts w:ascii="Times New Roman" w:hAnsi="Times New Roman" w:cs="Times New Roman"/>
          <w:b/>
          <w:bCs/>
          <w:color w:val="auto"/>
          <w:sz w:val="20"/>
          <w:szCs w:val="20"/>
        </w:rPr>
      </w:pPr>
      <w:bookmarkStart w:id="20" w:name="_Toc721"/>
      <w:r>
        <w:rPr>
          <w:rFonts w:cs="Times New Roman" w:ascii="Times New Roman" w:hAnsi="Times New Roman"/>
          <w:b/>
          <w:bCs/>
          <w:color w:val="auto"/>
          <w:sz w:val="20"/>
          <w:szCs w:val="20"/>
        </w:rPr>
        <w:t>X.2. Indicatori-cheie de performanță financiari (pondere cumulată 50%)</w:t>
      </w:r>
      <w:bookmarkEnd w:id="20"/>
    </w:p>
    <w:p>
      <w:pPr>
        <w:pStyle w:val="Normal"/>
        <w:rPr/>
      </w:pPr>
      <w:r>
        <w:rPr/>
      </w:r>
    </w:p>
    <w:p>
      <w:pPr>
        <w:pStyle w:val="Normal"/>
        <w:spacing w:before="0" w:after="0"/>
        <w:ind w:firstLine="708"/>
        <w:contextualSpacing/>
        <w:jc w:val="both"/>
        <w:rPr>
          <w:sz w:val="20"/>
          <w:szCs w:val="20"/>
        </w:rPr>
      </w:pPr>
      <w:r>
        <w:rPr>
          <w:sz w:val="20"/>
          <w:szCs w:val="20"/>
        </w:rPr>
        <w:t>Nivelurile orientative de realizare sunt stabilite pentru fiecare an al perioadei de mandat, conform solicitării formulate prin Adresa A.M.E.P.I.P. nr. 5513/24.03.2026.</w:t>
      </w:r>
    </w:p>
    <w:p>
      <w:pPr>
        <w:pStyle w:val="Normal"/>
        <w:spacing w:before="0" w:after="0"/>
        <w:contextualSpacing/>
        <w:jc w:val="both"/>
        <w:rPr>
          <w:sz w:val="20"/>
          <w:szCs w:val="20"/>
        </w:rPr>
      </w:pPr>
      <w:r>
        <w:rPr>
          <w:sz w:val="20"/>
          <w:szCs w:val="20"/>
        </w:rPr>
      </w:r>
    </w:p>
    <w:tbl>
      <w:tblPr>
        <w:tblW w:w="14835" w:type="dxa"/>
        <w:jc w:val="left"/>
        <w:tblInd w:w="0" w:type="dxa"/>
        <w:tblLayout w:type="fixed"/>
        <w:tblCellMar>
          <w:top w:w="60" w:type="dxa"/>
          <w:left w:w="70" w:type="dxa"/>
          <w:bottom w:w="60" w:type="dxa"/>
          <w:right w:w="70" w:type="dxa"/>
        </w:tblCellMar>
        <w:tblLook w:firstRow="1" w:noVBand="1" w:lastRow="0" w:firstColumn="1" w:lastColumn="0" w:noHBand="0" w:val="04a0"/>
      </w:tblPr>
      <w:tblGrid>
        <w:gridCol w:w="1499"/>
        <w:gridCol w:w="2098"/>
        <w:gridCol w:w="3590"/>
        <w:gridCol w:w="699"/>
        <w:gridCol w:w="1228"/>
        <w:gridCol w:w="1144"/>
        <w:gridCol w:w="1145"/>
        <w:gridCol w:w="1144"/>
        <w:gridCol w:w="1144"/>
        <w:gridCol w:w="1142"/>
      </w:tblGrid>
      <w:tr>
        <w:trPr>
          <w:tblHeader w:val="true"/>
        </w:trPr>
        <w:tc>
          <w:tcPr>
            <w:tcW w:w="1499"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Categoria de</w:t>
            </w:r>
          </w:p>
          <w:p>
            <w:pPr>
              <w:pStyle w:val="Normal"/>
              <w:widowControl w:val="false"/>
              <w:spacing w:beforeAutospacing="1" w:afterAutospacing="1"/>
              <w:contextualSpacing/>
              <w:jc w:val="center"/>
              <w:rPr>
                <w:sz w:val="20"/>
                <w:szCs w:val="20"/>
              </w:rPr>
            </w:pPr>
            <w:r>
              <w:rPr>
                <w:b/>
                <w:bCs/>
                <w:sz w:val="20"/>
                <w:szCs w:val="20"/>
              </w:rPr>
              <w:t>indicatori</w:t>
            </w:r>
          </w:p>
          <w:p>
            <w:pPr>
              <w:pStyle w:val="Normal"/>
              <w:widowControl w:val="false"/>
              <w:spacing w:beforeAutospacing="1" w:after="0"/>
              <w:contextualSpacing/>
              <w:jc w:val="center"/>
              <w:rPr>
                <w:sz w:val="20"/>
                <w:szCs w:val="20"/>
              </w:rPr>
            </w:pPr>
            <w:r>
              <w:rPr>
                <w:b/>
                <w:bCs/>
                <w:sz w:val="20"/>
                <w:szCs w:val="20"/>
              </w:rPr>
              <w:t>(pondere)</w:t>
            </w:r>
          </w:p>
        </w:tc>
        <w:tc>
          <w:tcPr>
            <w:tcW w:w="2098"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Denumirea</w:t>
            </w:r>
          </w:p>
          <w:p>
            <w:pPr>
              <w:pStyle w:val="Normal"/>
              <w:widowControl w:val="false"/>
              <w:spacing w:beforeAutospacing="1" w:after="0"/>
              <w:contextualSpacing/>
              <w:jc w:val="center"/>
              <w:rPr>
                <w:sz w:val="20"/>
                <w:szCs w:val="20"/>
              </w:rPr>
            </w:pPr>
            <w:r>
              <w:rPr>
                <w:b/>
                <w:bCs/>
                <w:sz w:val="20"/>
                <w:szCs w:val="20"/>
              </w:rPr>
              <w:t>indicatorului</w:t>
            </w:r>
          </w:p>
        </w:tc>
        <w:tc>
          <w:tcPr>
            <w:tcW w:w="3590"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0"/>
              <w:contextualSpacing/>
              <w:jc w:val="center"/>
              <w:rPr>
                <w:sz w:val="20"/>
                <w:szCs w:val="20"/>
              </w:rPr>
            </w:pPr>
            <w:r>
              <w:rPr>
                <w:b/>
                <w:bCs/>
                <w:sz w:val="20"/>
                <w:szCs w:val="20"/>
              </w:rPr>
              <w:t>Formula de calcul și detaliere</w:t>
            </w:r>
          </w:p>
        </w:tc>
        <w:tc>
          <w:tcPr>
            <w:tcW w:w="699"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0"/>
              <w:contextualSpacing/>
              <w:jc w:val="center"/>
              <w:rPr>
                <w:sz w:val="20"/>
                <w:szCs w:val="20"/>
              </w:rPr>
            </w:pPr>
            <w:r>
              <w:rPr>
                <w:b/>
                <w:bCs/>
                <w:sz w:val="20"/>
                <w:szCs w:val="20"/>
              </w:rPr>
              <w:t>U.M.</w:t>
            </w:r>
          </w:p>
        </w:tc>
        <w:tc>
          <w:tcPr>
            <w:tcW w:w="1228"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Nivel minim</w:t>
            </w:r>
          </w:p>
          <w:p>
            <w:pPr>
              <w:pStyle w:val="Normal"/>
              <w:widowControl w:val="false"/>
              <w:spacing w:beforeAutospacing="1" w:afterAutospacing="1"/>
              <w:contextualSpacing/>
              <w:jc w:val="center"/>
              <w:rPr>
                <w:sz w:val="20"/>
                <w:szCs w:val="20"/>
              </w:rPr>
            </w:pPr>
            <w:r>
              <w:rPr>
                <w:b/>
                <w:bCs/>
                <w:sz w:val="20"/>
                <w:szCs w:val="20"/>
              </w:rPr>
              <w:t>Ordin A.M.E.P.I.P.</w:t>
            </w:r>
          </w:p>
          <w:p>
            <w:pPr>
              <w:pStyle w:val="Normal"/>
              <w:widowControl w:val="false"/>
              <w:spacing w:beforeAutospacing="1" w:after="0"/>
              <w:contextualSpacing/>
              <w:jc w:val="center"/>
              <w:rPr>
                <w:sz w:val="20"/>
                <w:szCs w:val="20"/>
              </w:rPr>
            </w:pPr>
            <w:r>
              <w:rPr>
                <w:b/>
                <w:bCs/>
                <w:sz w:val="20"/>
                <w:szCs w:val="20"/>
              </w:rPr>
              <w:t>nr. 651/2024</w:t>
            </w:r>
          </w:p>
        </w:tc>
        <w:tc>
          <w:tcPr>
            <w:tcW w:w="1144"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2026</w:t>
            </w:r>
          </w:p>
        </w:tc>
        <w:tc>
          <w:tcPr>
            <w:tcW w:w="1145"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2027</w:t>
            </w:r>
          </w:p>
        </w:tc>
        <w:tc>
          <w:tcPr>
            <w:tcW w:w="1144"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2028</w:t>
            </w:r>
          </w:p>
        </w:tc>
        <w:tc>
          <w:tcPr>
            <w:tcW w:w="1144"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2029</w:t>
            </w:r>
          </w:p>
        </w:tc>
        <w:tc>
          <w:tcPr>
            <w:tcW w:w="1142"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2030</w:t>
            </w:r>
          </w:p>
        </w:tc>
      </w:tr>
      <w:tr>
        <w:trPr/>
        <w:tc>
          <w:tcPr>
            <w:tcW w:w="14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Autospacing="1"/>
              <w:contextualSpacing/>
              <w:jc w:val="center"/>
              <w:rPr>
                <w:sz w:val="20"/>
                <w:szCs w:val="20"/>
              </w:rPr>
            </w:pPr>
            <w:r>
              <w:rPr>
                <w:b/>
                <w:bCs/>
                <w:sz w:val="20"/>
                <w:szCs w:val="20"/>
              </w:rPr>
              <w:t>a) Politica de</w:t>
            </w:r>
          </w:p>
          <w:p>
            <w:pPr>
              <w:pStyle w:val="Normal"/>
              <w:widowControl w:val="false"/>
              <w:spacing w:beforeAutospacing="1" w:afterAutospacing="1"/>
              <w:contextualSpacing/>
              <w:jc w:val="center"/>
              <w:rPr>
                <w:sz w:val="20"/>
                <w:szCs w:val="20"/>
              </w:rPr>
            </w:pPr>
            <w:r>
              <w:rPr>
                <w:b/>
                <w:bCs/>
                <w:sz w:val="20"/>
                <w:szCs w:val="20"/>
              </w:rPr>
              <w:t>investiții</w:t>
            </w:r>
          </w:p>
          <w:p>
            <w:pPr>
              <w:pStyle w:val="Normal"/>
              <w:widowControl w:val="false"/>
              <w:spacing w:beforeAutospacing="1" w:after="0"/>
              <w:contextualSpacing/>
              <w:jc w:val="center"/>
              <w:rPr>
                <w:sz w:val="20"/>
                <w:szCs w:val="20"/>
              </w:rPr>
            </w:pPr>
            <w:r>
              <w:rPr>
                <w:b/>
                <w:bCs/>
                <w:sz w:val="20"/>
                <w:szCs w:val="20"/>
              </w:rPr>
              <w:t>(4%)</w:t>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cheltuielilor de capital</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Rata cheltuielilor de capital = (Cheltuieli de capital / Total active) × 100. Măsoară efortul investițional anual raportat la baza de active a societății.</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0,15</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0,60</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0,70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0,85</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1,00</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1,15</w:t>
            </w:r>
          </w:p>
        </w:tc>
      </w:tr>
      <w:tr>
        <w:trPr/>
        <w:tc>
          <w:tcPr>
            <w:tcW w:w="1499" w:type="dxa"/>
            <w:vMerge w:val="restart"/>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Autospacing="1"/>
              <w:contextualSpacing/>
              <w:jc w:val="center"/>
              <w:rPr>
                <w:sz w:val="20"/>
                <w:szCs w:val="20"/>
              </w:rPr>
            </w:pPr>
            <w:r>
              <w:rPr>
                <w:b/>
                <w:bCs/>
                <w:sz w:val="20"/>
                <w:szCs w:val="20"/>
              </w:rPr>
              <w:t>b) Finanțarea</w:t>
            </w:r>
          </w:p>
          <w:p>
            <w:pPr>
              <w:pStyle w:val="Normal"/>
              <w:widowControl w:val="false"/>
              <w:spacing w:beforeAutospacing="1" w:after="0"/>
              <w:contextualSpacing/>
              <w:jc w:val="center"/>
              <w:rPr>
                <w:sz w:val="20"/>
                <w:szCs w:val="20"/>
              </w:rPr>
            </w:pPr>
            <w:r>
              <w:rPr>
                <w:b/>
                <w:bCs/>
                <w:sz w:val="20"/>
                <w:szCs w:val="20"/>
              </w:rPr>
              <w:t>(12%)</w:t>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lichidității curente</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Rata lichidității curente = Active curente (circulante) / Datorii curente. Exprimă capacitatea de acoperire a datoriilor pe termen scurt din activele circulante.</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1,00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1,41</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1,43</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1,45</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1,47</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1,50</w:t>
            </w:r>
          </w:p>
        </w:tc>
      </w:tr>
      <w:tr>
        <w:trPr/>
        <w:tc>
          <w:tcPr>
            <w:tcW w:w="1499" w:type="dxa"/>
            <w:vMerge w:val="continue"/>
            <w:tcBorders>
              <w:top w:val="single" w:sz="4" w:space="0" w:color="8EA9DB"/>
              <w:left w:val="single" w:sz="4" w:space="0" w:color="8EA9DB"/>
              <w:bottom w:val="single" w:sz="4" w:space="0" w:color="8EA9DB"/>
              <w:right w:val="single" w:sz="4" w:space="0" w:color="8EA9DB"/>
            </w:tcBorders>
            <w:tcMar>
              <w:top w:w="0" w:type="dxa"/>
              <w:left w:w="10" w:type="dxa"/>
              <w:bottom w:w="0" w:type="dxa"/>
              <w:right w:w="10" w:type="dxa"/>
            </w:tcMar>
          </w:tcPr>
          <w:p>
            <w:pPr>
              <w:pStyle w:val="Normal"/>
              <w:widowControl w:val="false"/>
              <w:spacing w:beforeAutospacing="1" w:after="0"/>
              <w:contextualSpacing/>
              <w:jc w:val="center"/>
              <w:rPr>
                <w:sz w:val="20"/>
                <w:szCs w:val="20"/>
              </w:rPr>
            </w:pPr>
            <w:r>
              <w:rPr>
                <w:sz w:val="20"/>
                <w:szCs w:val="20"/>
              </w:rPr>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Lichiditatea imediată (test acid)</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Test acid = (Active circulante – Stocuri) / Datorii curente cu scadența sub 1 an.</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0,80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1,25</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1,27</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1,29</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1,31</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1,33</w:t>
            </w:r>
          </w:p>
        </w:tc>
      </w:tr>
      <w:tr>
        <w:trPr/>
        <w:tc>
          <w:tcPr>
            <w:tcW w:w="1499" w:type="dxa"/>
            <w:vMerge w:val="continue"/>
            <w:tcBorders>
              <w:top w:val="single" w:sz="4" w:space="0" w:color="8EA9DB"/>
              <w:left w:val="single" w:sz="4" w:space="0" w:color="8EA9DB"/>
              <w:bottom w:val="single" w:sz="4" w:space="0" w:color="8EA9DB"/>
              <w:right w:val="single" w:sz="4" w:space="0" w:color="8EA9DB"/>
            </w:tcBorders>
            <w:tcMar>
              <w:top w:w="0" w:type="dxa"/>
              <w:left w:w="10" w:type="dxa"/>
              <w:bottom w:w="0" w:type="dxa"/>
              <w:right w:w="10" w:type="dxa"/>
            </w:tcMar>
          </w:tcPr>
          <w:p>
            <w:pPr>
              <w:pStyle w:val="Normal"/>
              <w:widowControl w:val="false"/>
              <w:spacing w:beforeAutospacing="1" w:after="0"/>
              <w:contextualSpacing/>
              <w:jc w:val="center"/>
              <w:rPr>
                <w:sz w:val="20"/>
                <w:szCs w:val="20"/>
              </w:rPr>
            </w:pPr>
            <w:r>
              <w:rPr>
                <w:sz w:val="20"/>
                <w:szCs w:val="20"/>
              </w:rPr>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Levierul</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Levier = Datorii totale / Capitaluri proprii. Exprimă gradul de îndatorare a societății raportat la resursele proprii.</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&gt; 0 și &lt; 1,00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0,95</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0,90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0,85</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0,80</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0,75</w:t>
            </w:r>
          </w:p>
        </w:tc>
      </w:tr>
      <w:tr>
        <w:trPr/>
        <w:tc>
          <w:tcPr>
            <w:tcW w:w="1499" w:type="dxa"/>
            <w:vMerge w:val="restart"/>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Autospacing="1"/>
              <w:contextualSpacing/>
              <w:jc w:val="center"/>
              <w:rPr>
                <w:sz w:val="20"/>
                <w:szCs w:val="20"/>
              </w:rPr>
            </w:pPr>
            <w:r>
              <w:rPr>
                <w:b/>
                <w:bCs/>
                <w:sz w:val="20"/>
                <w:szCs w:val="20"/>
              </w:rPr>
              <w:t>c) Operațiunile</w:t>
            </w:r>
          </w:p>
          <w:p>
            <w:pPr>
              <w:pStyle w:val="Normal"/>
              <w:widowControl w:val="false"/>
              <w:spacing w:beforeAutospacing="1" w:after="0"/>
              <w:contextualSpacing/>
              <w:jc w:val="center"/>
              <w:rPr>
                <w:sz w:val="20"/>
                <w:szCs w:val="20"/>
              </w:rPr>
            </w:pPr>
            <w:r>
              <w:rPr>
                <w:b/>
                <w:bCs/>
                <w:sz w:val="20"/>
                <w:szCs w:val="20"/>
              </w:rPr>
              <w:t>(12%)</w:t>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de rotație a activelor</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Rata de rotație a activelor = Cifra de afaceri netă / Valoarea medie a tuturor activelor.</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1,38</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1,10</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1,35</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1,38</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1,42</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1,46</w:t>
            </w:r>
          </w:p>
        </w:tc>
      </w:tr>
      <w:tr>
        <w:trPr/>
        <w:tc>
          <w:tcPr>
            <w:tcW w:w="1499" w:type="dxa"/>
            <w:vMerge w:val="continue"/>
            <w:tcBorders>
              <w:top w:val="single" w:sz="4" w:space="0" w:color="8EA9DB"/>
              <w:left w:val="single" w:sz="4" w:space="0" w:color="8EA9DB"/>
              <w:bottom w:val="single" w:sz="4" w:space="0" w:color="8EA9DB"/>
              <w:right w:val="single" w:sz="4" w:space="0" w:color="8EA9DB"/>
            </w:tcBorders>
            <w:tcMar>
              <w:top w:w="0" w:type="dxa"/>
              <w:left w:w="10" w:type="dxa"/>
              <w:bottom w:w="0" w:type="dxa"/>
              <w:right w:w="10" w:type="dxa"/>
            </w:tcMar>
          </w:tcPr>
          <w:p>
            <w:pPr>
              <w:pStyle w:val="Normal"/>
              <w:widowControl w:val="false"/>
              <w:spacing w:beforeAutospacing="1" w:after="0"/>
              <w:contextualSpacing/>
              <w:jc w:val="center"/>
              <w:rPr>
                <w:sz w:val="20"/>
                <w:szCs w:val="20"/>
              </w:rPr>
            </w:pPr>
            <w:r>
              <w:rPr>
                <w:sz w:val="20"/>
                <w:szCs w:val="20"/>
              </w:rPr>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de rotație a stocurilor</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Rata de rotație a stocurilor = Cifra de afaceri netă / Valoarea medie a stocurilor.</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6,06</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9,50</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9,70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9,90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10,10</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10,30</w:t>
            </w:r>
          </w:p>
        </w:tc>
      </w:tr>
      <w:tr>
        <w:trPr/>
        <w:tc>
          <w:tcPr>
            <w:tcW w:w="1499" w:type="dxa"/>
            <w:vMerge w:val="continue"/>
            <w:tcBorders>
              <w:top w:val="single" w:sz="4" w:space="0" w:color="8EA9DB"/>
              <w:left w:val="single" w:sz="4" w:space="0" w:color="8EA9DB"/>
              <w:bottom w:val="single" w:sz="4" w:space="0" w:color="8EA9DB"/>
              <w:right w:val="single" w:sz="4" w:space="0" w:color="8EA9DB"/>
            </w:tcBorders>
            <w:tcMar>
              <w:top w:w="0" w:type="dxa"/>
              <w:left w:w="10" w:type="dxa"/>
              <w:bottom w:w="0" w:type="dxa"/>
              <w:right w:w="10" w:type="dxa"/>
            </w:tcMar>
          </w:tcPr>
          <w:p>
            <w:pPr>
              <w:pStyle w:val="Normal"/>
              <w:widowControl w:val="false"/>
              <w:spacing w:beforeAutospacing="1" w:after="0"/>
              <w:contextualSpacing/>
              <w:jc w:val="center"/>
              <w:rPr>
                <w:sz w:val="20"/>
                <w:szCs w:val="20"/>
              </w:rPr>
            </w:pPr>
            <w:r>
              <w:rPr>
                <w:sz w:val="20"/>
                <w:szCs w:val="20"/>
              </w:rPr>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de rotație a creanțelor</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Rata de rotație a creanțelor = Cifra de afaceri netă / {[Creanțe la începutul perioadei (T0) + Creanțe la sfârșitul perioadei] / 2}.</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7,45</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2,10</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7,45</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7,60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7,80</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8,00</w:t>
            </w:r>
          </w:p>
        </w:tc>
      </w:tr>
      <w:tr>
        <w:trPr/>
        <w:tc>
          <w:tcPr>
            <w:tcW w:w="1499" w:type="dxa"/>
            <w:vMerge w:val="restart"/>
            <w:tcBorders>
              <w:top w:val="single" w:sz="4" w:space="0" w:color="8EA9DB"/>
              <w:left w:val="single" w:sz="4" w:space="0" w:color="8EA9DB"/>
              <w:bottom w:val="single" w:sz="2" w:space="0" w:color="B4C6E7"/>
              <w:right w:val="single" w:sz="4" w:space="0" w:color="8EA9DB"/>
            </w:tcBorders>
            <w:tcMar>
              <w:top w:w="40" w:type="dxa"/>
              <w:bottom w:w="40" w:type="dxa"/>
            </w:tcMar>
            <w:vAlign w:val="center"/>
          </w:tcPr>
          <w:p>
            <w:pPr>
              <w:pStyle w:val="Normal"/>
              <w:widowControl w:val="false"/>
              <w:spacing w:beforeAutospacing="1" w:afterAutospacing="1"/>
              <w:contextualSpacing/>
              <w:jc w:val="center"/>
              <w:rPr>
                <w:sz w:val="20"/>
                <w:szCs w:val="20"/>
              </w:rPr>
            </w:pPr>
            <w:r>
              <w:rPr>
                <w:b/>
                <w:bCs/>
                <w:sz w:val="20"/>
                <w:szCs w:val="20"/>
              </w:rPr>
              <w:t>d) Rentabilitatea</w:t>
            </w:r>
          </w:p>
          <w:p>
            <w:pPr>
              <w:pStyle w:val="Normal"/>
              <w:widowControl w:val="false"/>
              <w:spacing w:beforeAutospacing="1" w:after="0"/>
              <w:contextualSpacing/>
              <w:jc w:val="center"/>
              <w:rPr>
                <w:sz w:val="20"/>
                <w:szCs w:val="20"/>
              </w:rPr>
            </w:pPr>
            <w:r>
              <w:rPr>
                <w:b/>
                <w:bCs/>
                <w:sz w:val="20"/>
                <w:szCs w:val="20"/>
              </w:rPr>
              <w:t>(18%)</w:t>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Rentabilitatea capitalului propriu (ROE)</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ROE = (Profit net / Valoarea capitalurilor proprii) × 100.</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5,14</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3,90</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4,30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4,80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5,30</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5,85</w:t>
            </w:r>
          </w:p>
        </w:tc>
      </w:tr>
      <w:tr>
        <w:trPr/>
        <w:tc>
          <w:tcPr>
            <w:tcW w:w="1499" w:type="dxa"/>
            <w:vMerge w:val="continue"/>
            <w:tcBorders>
              <w:top w:val="single" w:sz="4" w:space="0" w:color="8EA9DB"/>
              <w:left w:val="single" w:sz="4" w:space="0" w:color="8EA9DB"/>
              <w:bottom w:val="single" w:sz="4" w:space="0" w:color="8EA9DB"/>
              <w:right w:val="single" w:sz="4" w:space="0" w:color="8EA9DB"/>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Rentabilitatea activelor (ROA)</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ROA = (Profit net / Total active) × 100.</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3,74</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2,10</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2,45</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2,80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3,25</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3,74</w:t>
            </w:r>
          </w:p>
        </w:tc>
      </w:tr>
      <w:tr>
        <w:trPr/>
        <w:tc>
          <w:tcPr>
            <w:tcW w:w="1499" w:type="dxa"/>
            <w:vMerge w:val="continue"/>
            <w:tcBorders>
              <w:top w:val="single" w:sz="4" w:space="0" w:color="8EA9DB"/>
              <w:left w:val="single" w:sz="4" w:space="0" w:color="8EA9DB"/>
              <w:bottom w:val="single" w:sz="4" w:space="0" w:color="8EA9DB"/>
              <w:right w:val="single" w:sz="4" w:space="0" w:color="8EA9DB"/>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Marja profitului din exploatare</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Marja profitului din exploatare = (Profit din exploatare / Cifra de afaceri netă) × 100.</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2,81</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3,55</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3,58</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3,62</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3,66</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3,70</w:t>
            </w:r>
          </w:p>
        </w:tc>
      </w:tr>
      <w:tr>
        <w:trPr/>
        <w:tc>
          <w:tcPr>
            <w:tcW w:w="1499" w:type="dxa"/>
            <w:vMerge w:val="continue"/>
            <w:tcBorders>
              <w:top w:val="single" w:sz="4" w:space="0" w:color="8EA9DB"/>
              <w:left w:val="single" w:sz="4" w:space="0" w:color="8EA9DB"/>
              <w:bottom w:val="single" w:sz="2" w:space="0" w:color="B4C6E7"/>
              <w:right w:val="single" w:sz="4" w:space="0" w:color="8EA9DB"/>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Marja netă a profitului</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Marja netă = (Profit net_t / Cifra de afaceri netă_t) × 100.</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2,46</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1,65</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1,80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2,00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2,20</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2,46</w:t>
            </w:r>
          </w:p>
        </w:tc>
      </w:tr>
      <w:tr>
        <w:trPr/>
        <w:tc>
          <w:tcPr>
            <w:tcW w:w="1499" w:type="dxa"/>
            <w:vMerge w:val="continue"/>
            <w:tcBorders>
              <w:top w:val="single" w:sz="2" w:space="0" w:color="B4C6E7"/>
              <w:left w:val="single" w:sz="4" w:space="0" w:color="8EA9DB"/>
              <w:bottom w:val="single" w:sz="2" w:space="0" w:color="B4C6E7"/>
              <w:right w:val="single" w:sz="4" w:space="0" w:color="8EA9DB"/>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de creștere a cifrei de afaceri nete</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Rata de creștere a CA = [(CA netă_curent – CA netă_anterior) / CA netă_anterior] × 100.</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2,48</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w:t>
            </w:r>
            <w:r>
              <w:rPr>
                <w:b/>
                <w:bCs/>
                <w:sz w:val="20"/>
                <w:szCs w:val="20"/>
              </w:rPr>
              <w:t>11,17</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2,48</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2,48</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2,48</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2,48</w:t>
            </w:r>
          </w:p>
        </w:tc>
      </w:tr>
      <w:tr>
        <w:trPr/>
        <w:tc>
          <w:tcPr>
            <w:tcW w:w="1499" w:type="dxa"/>
            <w:vMerge w:val="continue"/>
            <w:tcBorders>
              <w:top w:val="single" w:sz="2" w:space="0" w:color="B4C6E7"/>
              <w:left w:val="single" w:sz="4" w:space="0" w:color="8EA9DB"/>
              <w:bottom w:val="single" w:sz="2" w:space="0" w:color="B4C6E7"/>
              <w:right w:val="single" w:sz="4" w:space="0" w:color="8EA9DB"/>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de creștere anuală a profitului</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Rata de creștere a profitului = [(Profit net_curent – Profit net_anterior) / Profit net_anterior] × 100.</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11,03</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2,93</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13,30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13,30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13,30</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13,30</w:t>
            </w:r>
          </w:p>
        </w:tc>
      </w:tr>
      <w:tr>
        <w:trPr/>
        <w:tc>
          <w:tcPr>
            <w:tcW w:w="1499" w:type="dxa"/>
            <w:tcBorders>
              <w:top w:val="single" w:sz="2" w:space="0" w:color="B4C6E7"/>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Autospacing="1"/>
              <w:contextualSpacing/>
              <w:jc w:val="center"/>
              <w:rPr>
                <w:sz w:val="20"/>
                <w:szCs w:val="20"/>
              </w:rPr>
            </w:pPr>
            <w:r>
              <w:rPr>
                <w:b/>
                <w:bCs/>
                <w:sz w:val="20"/>
                <w:szCs w:val="20"/>
              </w:rPr>
              <w:t>e) Rata de</w:t>
            </w:r>
          </w:p>
          <w:p>
            <w:pPr>
              <w:pStyle w:val="Normal"/>
              <w:widowControl w:val="false"/>
              <w:spacing w:beforeAutospacing="1" w:afterAutospacing="1"/>
              <w:contextualSpacing/>
              <w:jc w:val="center"/>
              <w:rPr>
                <w:sz w:val="20"/>
                <w:szCs w:val="20"/>
              </w:rPr>
            </w:pPr>
            <w:r>
              <w:rPr>
                <w:b/>
                <w:bCs/>
                <w:sz w:val="20"/>
                <w:szCs w:val="20"/>
              </w:rPr>
              <w:t>distribuție a</w:t>
            </w:r>
          </w:p>
          <w:p>
            <w:pPr>
              <w:pStyle w:val="Normal"/>
              <w:widowControl w:val="false"/>
              <w:spacing w:beforeAutospacing="1" w:afterAutospacing="1"/>
              <w:contextualSpacing/>
              <w:jc w:val="center"/>
              <w:rPr>
                <w:sz w:val="20"/>
                <w:szCs w:val="20"/>
              </w:rPr>
            </w:pPr>
            <w:r>
              <w:rPr>
                <w:b/>
                <w:bCs/>
                <w:sz w:val="20"/>
                <w:szCs w:val="20"/>
              </w:rPr>
              <w:t>profitului sub</w:t>
            </w:r>
          </w:p>
          <w:p>
            <w:pPr>
              <w:pStyle w:val="Normal"/>
              <w:widowControl w:val="false"/>
              <w:spacing w:beforeAutospacing="1" w:afterAutospacing="1"/>
              <w:contextualSpacing/>
              <w:jc w:val="center"/>
              <w:rPr>
                <w:sz w:val="20"/>
                <w:szCs w:val="20"/>
              </w:rPr>
            </w:pPr>
            <w:r>
              <w:rPr>
                <w:b/>
                <w:bCs/>
                <w:sz w:val="20"/>
                <w:szCs w:val="20"/>
              </w:rPr>
              <w:t>formă de</w:t>
            </w:r>
          </w:p>
          <w:p>
            <w:pPr>
              <w:pStyle w:val="Normal"/>
              <w:widowControl w:val="false"/>
              <w:spacing w:beforeAutospacing="1" w:after="0"/>
              <w:contextualSpacing/>
              <w:jc w:val="center"/>
              <w:rPr>
                <w:sz w:val="20"/>
                <w:szCs w:val="20"/>
              </w:rPr>
            </w:pPr>
            <w:r>
              <w:rPr>
                <w:b/>
                <w:bCs/>
                <w:sz w:val="20"/>
                <w:szCs w:val="20"/>
              </w:rPr>
              <w:t>dividende (4%)</w:t>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de plată a dividendelor</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Rata de plată a dividendelor = (Dividende plătite_t / Profit net_t) × 100.</w:t>
            </w:r>
          </w:p>
        </w:tc>
        <w:tc>
          <w:tcPr>
            <w:tcW w:w="699"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50,00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50,00</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50,00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50,00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50,00</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50,00</w:t>
            </w:r>
          </w:p>
        </w:tc>
      </w:tr>
    </w:tbl>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Normal"/>
        <w:spacing w:beforeAutospacing="1" w:afterAutospacing="1"/>
        <w:contextualSpacing/>
        <w:jc w:val="both"/>
        <w:rPr>
          <w:sz w:val="20"/>
          <w:szCs w:val="20"/>
        </w:rPr>
      </w:pPr>
      <w:r>
        <w:rPr>
          <w:sz w:val="20"/>
          <w:szCs w:val="20"/>
        </w:rPr>
      </w:r>
    </w:p>
    <w:p>
      <w:pPr>
        <w:pStyle w:val="Heading2"/>
        <w:spacing w:beforeAutospacing="1" w:afterAutospacing="1"/>
        <w:contextualSpacing/>
        <w:jc w:val="both"/>
        <w:rPr>
          <w:rFonts w:ascii="Times New Roman" w:hAnsi="Times New Roman" w:cs="Times New Roman"/>
          <w:color w:val="auto"/>
          <w:sz w:val="20"/>
          <w:szCs w:val="20"/>
        </w:rPr>
      </w:pPr>
      <w:bookmarkStart w:id="21" w:name="_Toc722"/>
      <w:r>
        <w:rPr>
          <w:rFonts w:cs="Times New Roman" w:ascii="Times New Roman" w:hAnsi="Times New Roman"/>
          <w:b/>
          <w:bCs/>
          <w:color w:val="auto"/>
          <w:sz w:val="20"/>
          <w:szCs w:val="20"/>
        </w:rPr>
        <w:t>X.3. Indicatori-cheie de performanță nefinanciari (pondere cumulată 50%)</w:t>
      </w:r>
      <w:bookmarkEnd w:id="21"/>
    </w:p>
    <w:tbl>
      <w:tblPr>
        <w:tblW w:w="14835" w:type="dxa"/>
        <w:jc w:val="left"/>
        <w:tblInd w:w="0" w:type="dxa"/>
        <w:tblLayout w:type="fixed"/>
        <w:tblCellMar>
          <w:top w:w="60" w:type="dxa"/>
          <w:left w:w="70" w:type="dxa"/>
          <w:bottom w:w="60" w:type="dxa"/>
          <w:right w:w="70" w:type="dxa"/>
        </w:tblCellMar>
        <w:tblLook w:firstRow="1" w:noVBand="1" w:lastRow="0" w:firstColumn="1" w:lastColumn="0" w:noHBand="0" w:val="04a0"/>
      </w:tblPr>
      <w:tblGrid>
        <w:gridCol w:w="1498"/>
        <w:gridCol w:w="2098"/>
        <w:gridCol w:w="3590"/>
        <w:gridCol w:w="700"/>
        <w:gridCol w:w="1228"/>
        <w:gridCol w:w="1144"/>
        <w:gridCol w:w="1145"/>
        <w:gridCol w:w="1144"/>
        <w:gridCol w:w="1144"/>
        <w:gridCol w:w="1142"/>
      </w:tblGrid>
      <w:tr>
        <w:trPr>
          <w:tblHeader w:val="true"/>
        </w:trPr>
        <w:tc>
          <w:tcPr>
            <w:tcW w:w="1498"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Categoria de</w:t>
            </w:r>
          </w:p>
          <w:p>
            <w:pPr>
              <w:pStyle w:val="Normal"/>
              <w:widowControl w:val="false"/>
              <w:spacing w:beforeAutospacing="1" w:afterAutospacing="1"/>
              <w:contextualSpacing/>
              <w:jc w:val="center"/>
              <w:rPr>
                <w:sz w:val="20"/>
                <w:szCs w:val="20"/>
              </w:rPr>
            </w:pPr>
            <w:r>
              <w:rPr>
                <w:b/>
                <w:bCs/>
                <w:sz w:val="20"/>
                <w:szCs w:val="20"/>
              </w:rPr>
              <w:t>indicatori</w:t>
            </w:r>
          </w:p>
          <w:p>
            <w:pPr>
              <w:pStyle w:val="Normal"/>
              <w:widowControl w:val="false"/>
              <w:spacing w:beforeAutospacing="1" w:after="0"/>
              <w:contextualSpacing/>
              <w:jc w:val="center"/>
              <w:rPr>
                <w:sz w:val="20"/>
                <w:szCs w:val="20"/>
              </w:rPr>
            </w:pPr>
            <w:r>
              <w:rPr>
                <w:b/>
                <w:bCs/>
                <w:sz w:val="20"/>
                <w:szCs w:val="20"/>
              </w:rPr>
              <w:t>(pondere)</w:t>
            </w:r>
          </w:p>
        </w:tc>
        <w:tc>
          <w:tcPr>
            <w:tcW w:w="2098"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Denumirea</w:t>
            </w:r>
          </w:p>
          <w:p>
            <w:pPr>
              <w:pStyle w:val="Normal"/>
              <w:widowControl w:val="false"/>
              <w:spacing w:beforeAutospacing="1" w:after="0"/>
              <w:contextualSpacing/>
              <w:jc w:val="center"/>
              <w:rPr>
                <w:sz w:val="20"/>
                <w:szCs w:val="20"/>
              </w:rPr>
            </w:pPr>
            <w:r>
              <w:rPr>
                <w:b/>
                <w:bCs/>
                <w:sz w:val="20"/>
                <w:szCs w:val="20"/>
              </w:rPr>
              <w:t>indicatorului</w:t>
            </w:r>
          </w:p>
        </w:tc>
        <w:tc>
          <w:tcPr>
            <w:tcW w:w="3590"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0"/>
              <w:contextualSpacing/>
              <w:jc w:val="center"/>
              <w:rPr>
                <w:sz w:val="20"/>
                <w:szCs w:val="20"/>
              </w:rPr>
            </w:pPr>
            <w:r>
              <w:rPr>
                <w:b/>
                <w:bCs/>
                <w:sz w:val="20"/>
                <w:szCs w:val="20"/>
              </w:rPr>
              <w:t>Formula de calcul și detaliere</w:t>
            </w:r>
          </w:p>
        </w:tc>
        <w:tc>
          <w:tcPr>
            <w:tcW w:w="700"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0"/>
              <w:contextualSpacing/>
              <w:jc w:val="center"/>
              <w:rPr>
                <w:sz w:val="20"/>
                <w:szCs w:val="20"/>
              </w:rPr>
            </w:pPr>
            <w:r>
              <w:rPr>
                <w:b/>
                <w:bCs/>
                <w:sz w:val="20"/>
                <w:szCs w:val="20"/>
              </w:rPr>
              <w:t>U.M.</w:t>
            </w:r>
          </w:p>
        </w:tc>
        <w:tc>
          <w:tcPr>
            <w:tcW w:w="1228"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Nivel minim</w:t>
            </w:r>
          </w:p>
          <w:p>
            <w:pPr>
              <w:pStyle w:val="Normal"/>
              <w:widowControl w:val="false"/>
              <w:spacing w:beforeAutospacing="1" w:afterAutospacing="1"/>
              <w:contextualSpacing/>
              <w:jc w:val="center"/>
              <w:rPr>
                <w:sz w:val="20"/>
                <w:szCs w:val="20"/>
              </w:rPr>
            </w:pPr>
            <w:r>
              <w:rPr>
                <w:b/>
                <w:bCs/>
                <w:sz w:val="20"/>
                <w:szCs w:val="20"/>
              </w:rPr>
              <w:t>Ordin A.M.E.P.I.P.</w:t>
            </w:r>
          </w:p>
          <w:p>
            <w:pPr>
              <w:pStyle w:val="Normal"/>
              <w:widowControl w:val="false"/>
              <w:spacing w:beforeAutospacing="1" w:after="0"/>
              <w:contextualSpacing/>
              <w:jc w:val="center"/>
              <w:rPr>
                <w:sz w:val="20"/>
                <w:szCs w:val="20"/>
              </w:rPr>
            </w:pPr>
            <w:r>
              <w:rPr>
                <w:b/>
                <w:bCs/>
                <w:sz w:val="20"/>
                <w:szCs w:val="20"/>
              </w:rPr>
              <w:t>nr. 651/2024</w:t>
            </w:r>
          </w:p>
        </w:tc>
        <w:tc>
          <w:tcPr>
            <w:tcW w:w="1144"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2026</w:t>
            </w:r>
          </w:p>
        </w:tc>
        <w:tc>
          <w:tcPr>
            <w:tcW w:w="1145"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2027</w:t>
            </w:r>
          </w:p>
        </w:tc>
        <w:tc>
          <w:tcPr>
            <w:tcW w:w="1144"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2028</w:t>
            </w:r>
          </w:p>
        </w:tc>
        <w:tc>
          <w:tcPr>
            <w:tcW w:w="1144"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2029</w:t>
            </w:r>
          </w:p>
        </w:tc>
        <w:tc>
          <w:tcPr>
            <w:tcW w:w="1142" w:type="dxa"/>
            <w:tcBorders>
              <w:top w:val="single" w:sz="4" w:space="0" w:color="8EA9DB"/>
              <w:left w:val="single" w:sz="4" w:space="0" w:color="8EA9DB"/>
              <w:bottom w:val="single" w:sz="4" w:space="0" w:color="8EA9DB"/>
              <w:right w:val="single" w:sz="4" w:space="0" w:color="8EA9DB"/>
            </w:tcBorders>
            <w:vAlign w:val="center"/>
          </w:tcPr>
          <w:p>
            <w:pPr>
              <w:pStyle w:val="Normal"/>
              <w:widowControl w:val="false"/>
              <w:spacing w:beforeAutospacing="1" w:afterAutospacing="1"/>
              <w:contextualSpacing/>
              <w:jc w:val="center"/>
              <w:rPr>
                <w:sz w:val="20"/>
                <w:szCs w:val="20"/>
              </w:rPr>
            </w:pPr>
            <w:r>
              <w:rPr>
                <w:b/>
                <w:bCs/>
                <w:sz w:val="20"/>
                <w:szCs w:val="20"/>
              </w:rPr>
              <w:t>Țintă</w:t>
            </w:r>
          </w:p>
          <w:p>
            <w:pPr>
              <w:pStyle w:val="Normal"/>
              <w:widowControl w:val="false"/>
              <w:spacing w:beforeAutospacing="1" w:after="0"/>
              <w:contextualSpacing/>
              <w:jc w:val="center"/>
              <w:rPr>
                <w:sz w:val="20"/>
                <w:szCs w:val="20"/>
              </w:rPr>
            </w:pPr>
            <w:r>
              <w:rPr>
                <w:b/>
                <w:bCs/>
                <w:sz w:val="20"/>
                <w:szCs w:val="20"/>
              </w:rPr>
              <w:t>2030</w:t>
            </w:r>
          </w:p>
        </w:tc>
      </w:tr>
      <w:tr>
        <w:trPr/>
        <w:tc>
          <w:tcPr>
            <w:tcW w:w="1498" w:type="dxa"/>
            <w:vMerge w:val="restart"/>
            <w:tcBorders>
              <w:top w:val="single" w:sz="4" w:space="0" w:color="8EA9DB"/>
              <w:left w:val="single" w:sz="4" w:space="0" w:color="8EA9DB"/>
              <w:bottom w:val="single" w:sz="2" w:space="0" w:color="B4C6E7"/>
              <w:right w:val="single" w:sz="4" w:space="0" w:color="8EA9DB"/>
            </w:tcBorders>
            <w:tcMar>
              <w:top w:w="40" w:type="dxa"/>
              <w:bottom w:w="40" w:type="dxa"/>
            </w:tcMar>
            <w:vAlign w:val="center"/>
          </w:tcPr>
          <w:p>
            <w:pPr>
              <w:pStyle w:val="Normal"/>
              <w:widowControl w:val="false"/>
              <w:spacing w:beforeAutospacing="1" w:afterAutospacing="1"/>
              <w:contextualSpacing/>
              <w:jc w:val="center"/>
              <w:rPr>
                <w:sz w:val="20"/>
                <w:szCs w:val="20"/>
              </w:rPr>
            </w:pPr>
            <w:r>
              <w:rPr>
                <w:b/>
                <w:bCs/>
                <w:sz w:val="20"/>
                <w:szCs w:val="20"/>
              </w:rPr>
              <w:t>a) Indicatori</w:t>
            </w:r>
          </w:p>
          <w:p>
            <w:pPr>
              <w:pStyle w:val="Normal"/>
              <w:widowControl w:val="false"/>
              <w:spacing w:beforeAutospacing="1" w:afterAutospacing="1"/>
              <w:contextualSpacing/>
              <w:jc w:val="center"/>
              <w:rPr>
                <w:sz w:val="20"/>
                <w:szCs w:val="20"/>
              </w:rPr>
            </w:pPr>
            <w:r>
              <w:rPr>
                <w:b/>
                <w:bCs/>
                <w:sz w:val="20"/>
                <w:szCs w:val="20"/>
              </w:rPr>
              <w:t>operaționali,</w:t>
            </w:r>
          </w:p>
          <w:p>
            <w:pPr>
              <w:pStyle w:val="Normal"/>
              <w:widowControl w:val="false"/>
              <w:spacing w:beforeAutospacing="1" w:afterAutospacing="1"/>
              <w:contextualSpacing/>
              <w:jc w:val="center"/>
              <w:rPr>
                <w:sz w:val="20"/>
                <w:szCs w:val="20"/>
              </w:rPr>
            </w:pPr>
            <w:r>
              <w:rPr>
                <w:b/>
                <w:bCs/>
                <w:sz w:val="20"/>
                <w:szCs w:val="20"/>
              </w:rPr>
              <w:t>orientați către</w:t>
            </w:r>
          </w:p>
          <w:p>
            <w:pPr>
              <w:pStyle w:val="Normal"/>
              <w:widowControl w:val="false"/>
              <w:spacing w:beforeAutospacing="1" w:afterAutospacing="1"/>
              <w:contextualSpacing/>
              <w:jc w:val="center"/>
              <w:rPr>
                <w:sz w:val="20"/>
                <w:szCs w:val="20"/>
              </w:rPr>
            </w:pPr>
            <w:r>
              <w:rPr>
                <w:b/>
                <w:bCs/>
                <w:sz w:val="20"/>
                <w:szCs w:val="20"/>
              </w:rPr>
              <w:t>serviciile publice</w:t>
            </w:r>
          </w:p>
          <w:p>
            <w:pPr>
              <w:pStyle w:val="Normal"/>
              <w:widowControl w:val="false"/>
              <w:spacing w:beforeAutospacing="1" w:afterAutospacing="1"/>
              <w:contextualSpacing/>
              <w:jc w:val="center"/>
              <w:rPr>
                <w:sz w:val="20"/>
                <w:szCs w:val="20"/>
              </w:rPr>
            </w:pPr>
            <w:r>
              <w:rPr>
                <w:b/>
                <w:bCs/>
                <w:sz w:val="20"/>
                <w:szCs w:val="20"/>
              </w:rPr>
              <w:t>delegate</w:t>
            </w:r>
          </w:p>
          <w:p>
            <w:pPr>
              <w:pStyle w:val="Normal"/>
              <w:widowControl w:val="false"/>
              <w:spacing w:beforeAutospacing="1" w:after="0"/>
              <w:contextualSpacing/>
              <w:jc w:val="center"/>
              <w:rPr>
                <w:sz w:val="20"/>
                <w:szCs w:val="20"/>
              </w:rPr>
            </w:pPr>
            <w:r>
              <w:rPr>
                <w:b/>
                <w:bCs/>
                <w:sz w:val="20"/>
                <w:szCs w:val="20"/>
              </w:rPr>
              <w:t>(25%)</w:t>
            </w:r>
          </w:p>
        </w:tc>
        <w:tc>
          <w:tcPr>
            <w:tcW w:w="209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Gradul de realizare a programului de măturat stradal</w:t>
            </w:r>
          </w:p>
        </w:tc>
        <w:tc>
          <w:tcPr>
            <w:tcW w:w="359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(Suprafața efectiv măturată în cursul anului / Suprafața programată prin contractul de delegare și programele lunare aprobate) × 100. Se determină pe baza situațiilor de lucrări confirmate de beneficiar.</w:t>
            </w:r>
          </w:p>
        </w:tc>
        <w:tc>
          <w:tcPr>
            <w:tcW w:w="700"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70</w:t>
            </w:r>
          </w:p>
        </w:tc>
        <w:tc>
          <w:tcPr>
            <w:tcW w:w="1145"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70</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75</w:t>
            </w:r>
          </w:p>
        </w:tc>
        <w:tc>
          <w:tcPr>
            <w:tcW w:w="1144"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75</w:t>
            </w:r>
          </w:p>
        </w:tc>
        <w:tc>
          <w:tcPr>
            <w:tcW w:w="1142" w:type="dxa"/>
            <w:tcBorders>
              <w:top w:val="single" w:sz="4" w:space="0" w:color="8EA9DB"/>
              <w:left w:val="single" w:sz="4" w:space="0" w:color="8EA9DB"/>
              <w:bottom w:val="single" w:sz="4" w:space="0" w:color="8EA9DB"/>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80</w:t>
            </w:r>
          </w:p>
        </w:tc>
      </w:tr>
      <w:tr>
        <w:trPr/>
        <w:tc>
          <w:tcPr>
            <w:tcW w:w="1498" w:type="dxa"/>
            <w:vMerge w:val="continue"/>
            <w:tcBorders>
              <w:top w:val="single" w:sz="4" w:space="0" w:color="8EA9DB"/>
              <w:left w:val="single" w:sz="4" w:space="0" w:color="8EA9DB"/>
              <w:bottom w:val="single" w:sz="4" w:space="0" w:color="8EA9DB"/>
              <w:right w:val="single" w:sz="4" w:space="0" w:color="8EA9DB"/>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8EA9DB"/>
              <w:left w:val="single" w:sz="4" w:space="0" w:color="8EA9DB"/>
              <w:bottom w:val="single" w:sz="4"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Gradul de acoperire a suprafețelor de salubrizare</w:t>
            </w:r>
          </w:p>
        </w:tc>
        <w:tc>
          <w:tcPr>
            <w:tcW w:w="3590" w:type="dxa"/>
            <w:tcBorders>
              <w:top w:val="single" w:sz="4" w:space="0" w:color="8EA9DB"/>
              <w:left w:val="single" w:sz="4" w:space="0" w:color="8EA9DB"/>
              <w:bottom w:val="single" w:sz="4" w:space="0" w:color="B4C6E7"/>
              <w:right w:val="single" w:sz="4" w:space="0" w:color="8EA9DB"/>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(Suprafața deservită efectiv / Suprafața totală prevăzută în contractul de delegare) × 100, în limita comenzilor și a posibilităților financiare ale beneficiarului.</w:t>
            </w:r>
          </w:p>
        </w:tc>
        <w:tc>
          <w:tcPr>
            <w:tcW w:w="700" w:type="dxa"/>
            <w:tcBorders>
              <w:top w:val="single" w:sz="4" w:space="0" w:color="8EA9DB"/>
              <w:left w:val="single" w:sz="4" w:space="0" w:color="8EA9DB"/>
              <w:bottom w:val="single" w:sz="4"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8EA9DB"/>
              <w:left w:val="single" w:sz="4" w:space="0" w:color="8EA9DB"/>
              <w:bottom w:val="single" w:sz="4"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8EA9DB"/>
              <w:left w:val="single" w:sz="4" w:space="0" w:color="8EA9DB"/>
              <w:bottom w:val="single" w:sz="4"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50</w:t>
            </w:r>
          </w:p>
        </w:tc>
        <w:tc>
          <w:tcPr>
            <w:tcW w:w="1145" w:type="dxa"/>
            <w:tcBorders>
              <w:top w:val="single" w:sz="4" w:space="0" w:color="8EA9DB"/>
              <w:left w:val="single" w:sz="4" w:space="0" w:color="8EA9DB"/>
              <w:bottom w:val="single" w:sz="4"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50</w:t>
            </w:r>
          </w:p>
        </w:tc>
        <w:tc>
          <w:tcPr>
            <w:tcW w:w="1144" w:type="dxa"/>
            <w:tcBorders>
              <w:top w:val="single" w:sz="4" w:space="0" w:color="8EA9DB"/>
              <w:left w:val="single" w:sz="4" w:space="0" w:color="8EA9DB"/>
              <w:bottom w:val="single" w:sz="4"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52</w:t>
            </w:r>
          </w:p>
        </w:tc>
        <w:tc>
          <w:tcPr>
            <w:tcW w:w="1144" w:type="dxa"/>
            <w:tcBorders>
              <w:top w:val="single" w:sz="4" w:space="0" w:color="8EA9DB"/>
              <w:left w:val="single" w:sz="4" w:space="0" w:color="8EA9DB"/>
              <w:bottom w:val="single" w:sz="4"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52</w:t>
            </w:r>
          </w:p>
        </w:tc>
        <w:tc>
          <w:tcPr>
            <w:tcW w:w="1142" w:type="dxa"/>
            <w:tcBorders>
              <w:top w:val="single" w:sz="4" w:space="0" w:color="8EA9DB"/>
              <w:left w:val="single" w:sz="4" w:space="0" w:color="8EA9DB"/>
              <w:bottom w:val="single" w:sz="4"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54</w:t>
            </w:r>
          </w:p>
        </w:tc>
      </w:tr>
      <w:tr>
        <w:trPr/>
        <w:tc>
          <w:tcPr>
            <w:tcW w:w="1498" w:type="dxa"/>
            <w:vMerge w:val="continue"/>
            <w:tcBorders>
              <w:top w:val="single" w:sz="4" w:space="0" w:color="8EA9DB"/>
              <w:left w:val="single" w:sz="4" w:space="0" w:color="8EA9DB"/>
              <w:bottom w:val="single" w:sz="2" w:space="0" w:color="B4C6E7"/>
              <w:right w:val="single" w:sz="4" w:space="0" w:color="B4C6E7"/>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Timpul mediu de intervenție la deszăpezire</w:t>
            </w:r>
          </w:p>
        </w:tc>
        <w:tc>
          <w:tcPr>
            <w:tcW w:w="359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Σ (intervalul de timp scurs de la declanșarea fenomenului meteorologic până la intrarea utilajelor în operare) / Numărul total de evenimente meteorologice din sezon.</w:t>
            </w:r>
          </w:p>
        </w:tc>
        <w:tc>
          <w:tcPr>
            <w:tcW w:w="70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ore</w:t>
            </w:r>
          </w:p>
        </w:tc>
        <w:tc>
          <w:tcPr>
            <w:tcW w:w="122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2,0</w:t>
            </w:r>
          </w:p>
        </w:tc>
        <w:tc>
          <w:tcPr>
            <w:tcW w:w="1145"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2,0</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2,0</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1,8</w:t>
            </w:r>
          </w:p>
        </w:tc>
        <w:tc>
          <w:tcPr>
            <w:tcW w:w="1142"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1,8</w:t>
            </w:r>
          </w:p>
        </w:tc>
      </w:tr>
      <w:tr>
        <w:trPr/>
        <w:tc>
          <w:tcPr>
            <w:tcW w:w="1498" w:type="dxa"/>
            <w:vMerge w:val="continue"/>
            <w:tcBorders>
              <w:top w:val="single" w:sz="2" w:space="0" w:color="B4C6E7"/>
              <w:left w:val="single" w:sz="4" w:space="0" w:color="8EA9DB"/>
              <w:bottom w:val="single" w:sz="2" w:space="0" w:color="B4C6E7"/>
              <w:right w:val="single" w:sz="4" w:space="0" w:color="B4C6E7"/>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Gradul de constituire a stocului de material antiderapant</w:t>
            </w:r>
          </w:p>
        </w:tc>
        <w:tc>
          <w:tcPr>
            <w:tcW w:w="359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(Cantitatea de material antiderapant existentă în stoc la data de 1 noiembrie / Cantitatea necesară planificată pentru sezonul rece) × 100.</w:t>
            </w:r>
          </w:p>
        </w:tc>
        <w:tc>
          <w:tcPr>
            <w:tcW w:w="70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90</w:t>
            </w:r>
          </w:p>
        </w:tc>
        <w:tc>
          <w:tcPr>
            <w:tcW w:w="1145"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90</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95</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95</w:t>
            </w:r>
          </w:p>
        </w:tc>
        <w:tc>
          <w:tcPr>
            <w:tcW w:w="1142"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100</w:t>
            </w:r>
          </w:p>
        </w:tc>
      </w:tr>
      <w:tr>
        <w:trPr/>
        <w:tc>
          <w:tcPr>
            <w:tcW w:w="1498" w:type="dxa"/>
            <w:vMerge w:val="continue"/>
            <w:tcBorders>
              <w:top w:val="single" w:sz="2" w:space="0" w:color="B4C6E7"/>
              <w:left w:val="single" w:sz="4" w:space="0" w:color="8EA9DB"/>
              <w:bottom w:val="single" w:sz="2" w:space="0" w:color="B4C6E7"/>
              <w:right w:val="single" w:sz="4" w:space="0" w:color="B4C6E7"/>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Gradul de menținere în funcțiune a căilor publice pe timp de polei sau îngheț</w:t>
            </w:r>
          </w:p>
        </w:tc>
        <w:tc>
          <w:tcPr>
            <w:tcW w:w="359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(Numărul de zile în care căile publice au fost menținute practicabile / Numărul total de zile cu fenomene de polei sau îngheț) × 100.</w:t>
            </w:r>
          </w:p>
        </w:tc>
        <w:tc>
          <w:tcPr>
            <w:tcW w:w="70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85</w:t>
            </w:r>
          </w:p>
        </w:tc>
        <w:tc>
          <w:tcPr>
            <w:tcW w:w="1145"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85</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87</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87</w:t>
            </w:r>
          </w:p>
        </w:tc>
        <w:tc>
          <w:tcPr>
            <w:tcW w:w="1142"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89</w:t>
            </w:r>
          </w:p>
        </w:tc>
      </w:tr>
      <w:tr>
        <w:trPr/>
        <w:tc>
          <w:tcPr>
            <w:tcW w:w="1498" w:type="dxa"/>
            <w:vMerge w:val="continue"/>
            <w:tcBorders>
              <w:top w:val="single" w:sz="2" w:space="0" w:color="B4C6E7"/>
              <w:left w:val="single" w:sz="4" w:space="0" w:color="8EA9DB"/>
              <w:bottom w:val="single" w:sz="2" w:space="0" w:color="B4C6E7"/>
              <w:right w:val="single" w:sz="4" w:space="0" w:color="B4C6E7"/>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Gradul de disponibilitate a sistemului de iluminat public</w:t>
            </w:r>
          </w:p>
        </w:tc>
        <w:tc>
          <w:tcPr>
            <w:tcW w:w="359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 puncte luminoase funcționale × ore de funcționare realizate) / (Număr total puncte luminoase × ore de funcționare programate) × 100, determinat pe baza datelor din sistemul de telegestiune.</w:t>
            </w:r>
          </w:p>
        </w:tc>
        <w:tc>
          <w:tcPr>
            <w:tcW w:w="70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70</w:t>
            </w:r>
          </w:p>
        </w:tc>
        <w:tc>
          <w:tcPr>
            <w:tcW w:w="1145"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71</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72</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73</w:t>
            </w:r>
          </w:p>
        </w:tc>
        <w:tc>
          <w:tcPr>
            <w:tcW w:w="1142"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75</w:t>
            </w:r>
          </w:p>
        </w:tc>
      </w:tr>
      <w:tr>
        <w:trPr/>
        <w:tc>
          <w:tcPr>
            <w:tcW w:w="1498" w:type="dxa"/>
            <w:vMerge w:val="continue"/>
            <w:tcBorders>
              <w:top w:val="single" w:sz="2" w:space="0" w:color="B4C6E7"/>
              <w:left w:val="single" w:sz="4" w:space="0" w:color="8EA9DB"/>
              <w:bottom w:val="single" w:sz="2" w:space="0" w:color="B4C6E7"/>
              <w:right w:val="single" w:sz="4" w:space="0" w:color="B4C6E7"/>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Timpul mediu de remediere a avariilor la punctele de aprindere</w:t>
            </w:r>
          </w:p>
        </w:tc>
        <w:tc>
          <w:tcPr>
            <w:tcW w:w="359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Σ (timpul scurs de la sesizarea/detectarea avariei până la remedierea acesteia) / Numărul total de avarii accidentale înregistrate în cursul anului.</w:t>
            </w:r>
          </w:p>
        </w:tc>
        <w:tc>
          <w:tcPr>
            <w:tcW w:w="70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ore</w:t>
            </w:r>
          </w:p>
        </w:tc>
        <w:tc>
          <w:tcPr>
            <w:tcW w:w="122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12</w:t>
            </w:r>
          </w:p>
        </w:tc>
        <w:tc>
          <w:tcPr>
            <w:tcW w:w="1145"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12</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11</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11</w:t>
            </w:r>
          </w:p>
        </w:tc>
        <w:tc>
          <w:tcPr>
            <w:tcW w:w="1142"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10</w:t>
            </w:r>
          </w:p>
        </w:tc>
      </w:tr>
      <w:tr>
        <w:trPr/>
        <w:tc>
          <w:tcPr>
            <w:tcW w:w="1498" w:type="dxa"/>
            <w:vMerge w:val="continue"/>
            <w:tcBorders>
              <w:top w:val="single" w:sz="2" w:space="0" w:color="B4C6E7"/>
              <w:left w:val="single" w:sz="4" w:space="0" w:color="8EA9DB"/>
              <w:bottom w:val="single" w:sz="2" w:space="0" w:color="B4C6E7"/>
              <w:right w:val="single" w:sz="4" w:space="0" w:color="B4C6E7"/>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Gradul de execuție a reviziilor tehnice programate la sistemul de iluminat public</w:t>
            </w:r>
          </w:p>
        </w:tc>
        <w:tc>
          <w:tcPr>
            <w:tcW w:w="359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(Numărul de revizii tehnice efectuate / Numărul de revizii tehnice programate prin planul anual de mentenanță) × 100.</w:t>
            </w:r>
          </w:p>
        </w:tc>
        <w:tc>
          <w:tcPr>
            <w:tcW w:w="70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90</w:t>
            </w:r>
          </w:p>
        </w:tc>
        <w:tc>
          <w:tcPr>
            <w:tcW w:w="1145"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91</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92</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93</w:t>
            </w:r>
          </w:p>
        </w:tc>
        <w:tc>
          <w:tcPr>
            <w:tcW w:w="1142"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94</w:t>
            </w:r>
          </w:p>
        </w:tc>
      </w:tr>
      <w:tr>
        <w:trPr/>
        <w:tc>
          <w:tcPr>
            <w:tcW w:w="1498" w:type="dxa"/>
            <w:vMerge w:val="continue"/>
            <w:tcBorders>
              <w:top w:val="single" w:sz="2" w:space="0" w:color="B4C6E7"/>
              <w:left w:val="single" w:sz="4" w:space="0" w:color="8EA9DB"/>
              <w:bottom w:val="single" w:sz="2" w:space="0" w:color="B4C6E7"/>
              <w:right w:val="single" w:sz="4" w:space="0" w:color="B4C6E7"/>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Gradul de realizare a Programului anual de DDD</w:t>
            </w:r>
          </w:p>
        </w:tc>
        <w:tc>
          <w:tcPr>
            <w:tcW w:w="359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(Numărul de operațiuni de dezinsecție, dezinfecție și deratizare efectuate / Numărul de operațiuni programate prin Programul unitar anual aprobat) × 100.</w:t>
            </w:r>
          </w:p>
        </w:tc>
        <w:tc>
          <w:tcPr>
            <w:tcW w:w="70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70</w:t>
            </w:r>
          </w:p>
        </w:tc>
        <w:tc>
          <w:tcPr>
            <w:tcW w:w="1145"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70</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75</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75</w:t>
            </w:r>
          </w:p>
        </w:tc>
        <w:tc>
          <w:tcPr>
            <w:tcW w:w="1142"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80</w:t>
            </w:r>
          </w:p>
        </w:tc>
      </w:tr>
      <w:tr>
        <w:trPr/>
        <w:tc>
          <w:tcPr>
            <w:tcW w:w="1498" w:type="dxa"/>
            <w:vMerge w:val="continue"/>
            <w:tcBorders>
              <w:top w:val="single" w:sz="2" w:space="0" w:color="B4C6E7"/>
              <w:left w:val="single" w:sz="4" w:space="0" w:color="8EA9DB"/>
              <w:bottom w:val="single" w:sz="2" w:space="0" w:color="B4C6E7"/>
              <w:right w:val="single" w:sz="4" w:space="0" w:color="B4C6E7"/>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Gradul de acoperire a suprafețelor din Programul unitar de DDD</w:t>
            </w:r>
          </w:p>
        </w:tc>
        <w:tc>
          <w:tcPr>
            <w:tcW w:w="359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(Suprafața efectiv tratată / Suprafața totală prevăzută în Programul unitar anual de DDD) × 100.</w:t>
            </w:r>
          </w:p>
        </w:tc>
        <w:tc>
          <w:tcPr>
            <w:tcW w:w="700"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50</w:t>
            </w:r>
          </w:p>
        </w:tc>
        <w:tc>
          <w:tcPr>
            <w:tcW w:w="1145"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50</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52</w:t>
            </w:r>
          </w:p>
        </w:tc>
        <w:tc>
          <w:tcPr>
            <w:tcW w:w="1144"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52</w:t>
            </w:r>
          </w:p>
        </w:tc>
        <w:tc>
          <w:tcPr>
            <w:tcW w:w="1142" w:type="dxa"/>
            <w:tcBorders>
              <w:top w:val="single" w:sz="4" w:space="0" w:color="B4C6E7"/>
              <w:left w:val="single" w:sz="4" w:space="0" w:color="B4C6E7"/>
              <w:bottom w:val="single" w:sz="4" w:space="0" w:color="B4C6E7"/>
              <w:right w:val="single" w:sz="4"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54</w:t>
            </w:r>
          </w:p>
        </w:tc>
      </w:tr>
      <w:tr>
        <w:trPr/>
        <w:tc>
          <w:tcPr>
            <w:tcW w:w="1498" w:type="dxa"/>
            <w:vMerge w:val="continue"/>
            <w:tcBorders>
              <w:top w:val="single" w:sz="2" w:space="0" w:color="B4C6E7"/>
              <w:left w:val="single" w:sz="4" w:space="0" w:color="8EA9DB"/>
              <w:bottom w:val="single" w:sz="2" w:space="0" w:color="B4C6E7"/>
              <w:right w:val="single" w:sz="2" w:space="0" w:color="B4C6E7"/>
            </w:tcBorders>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4"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de soluționare în termen a sesizărilor beneficiarilor</w:t>
            </w:r>
          </w:p>
        </w:tc>
        <w:tc>
          <w:tcPr>
            <w:tcW w:w="3590" w:type="dxa"/>
            <w:tcBorders>
              <w:top w:val="single" w:sz="4"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(Numărul de sesizări soluționate în termenele asumate – 24 de ore pentru urgențe, 5 zile lucrătoare pentru sesizări ordinare / Numărul total de sesizări înregistrate) × 100.</w:t>
            </w:r>
          </w:p>
        </w:tc>
        <w:tc>
          <w:tcPr>
            <w:tcW w:w="700" w:type="dxa"/>
            <w:tcBorders>
              <w:top w:val="single" w:sz="4"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4"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4"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85</w:t>
            </w:r>
          </w:p>
        </w:tc>
        <w:tc>
          <w:tcPr>
            <w:tcW w:w="1145" w:type="dxa"/>
            <w:tcBorders>
              <w:top w:val="single" w:sz="4"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87</w:t>
            </w:r>
          </w:p>
        </w:tc>
        <w:tc>
          <w:tcPr>
            <w:tcW w:w="1144" w:type="dxa"/>
            <w:tcBorders>
              <w:top w:val="single" w:sz="4"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89</w:t>
            </w:r>
          </w:p>
        </w:tc>
        <w:tc>
          <w:tcPr>
            <w:tcW w:w="1144" w:type="dxa"/>
            <w:tcBorders>
              <w:top w:val="single" w:sz="4"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90</w:t>
            </w:r>
          </w:p>
        </w:tc>
        <w:tc>
          <w:tcPr>
            <w:tcW w:w="1142" w:type="dxa"/>
            <w:tcBorders>
              <w:top w:val="single" w:sz="4"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92</w:t>
            </w:r>
          </w:p>
        </w:tc>
      </w:tr>
      <w:tr>
        <w:trPr/>
        <w:tc>
          <w:tcPr>
            <w:tcW w:w="1498" w:type="dxa"/>
            <w:vMerge w:val="restart"/>
            <w:tcBorders>
              <w:top w:val="single" w:sz="2" w:space="0" w:color="B4C6E7"/>
              <w:left w:val="single" w:sz="4" w:space="0" w:color="8EA9DB"/>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Autospacing="1"/>
              <w:contextualSpacing/>
              <w:jc w:val="center"/>
              <w:rPr>
                <w:sz w:val="20"/>
                <w:szCs w:val="20"/>
              </w:rPr>
            </w:pPr>
            <w:r>
              <w:rPr>
                <w:b/>
                <w:bCs/>
                <w:sz w:val="20"/>
                <w:szCs w:val="20"/>
              </w:rPr>
              <w:t>b) Indicatori</w:t>
            </w:r>
          </w:p>
          <w:p>
            <w:pPr>
              <w:pStyle w:val="Normal"/>
              <w:widowControl w:val="false"/>
              <w:spacing w:beforeAutospacing="1" w:afterAutospacing="1"/>
              <w:contextualSpacing/>
              <w:jc w:val="center"/>
              <w:rPr>
                <w:sz w:val="20"/>
                <w:szCs w:val="20"/>
              </w:rPr>
            </w:pPr>
            <w:r>
              <w:rPr>
                <w:b/>
                <w:bCs/>
                <w:sz w:val="20"/>
                <w:szCs w:val="20"/>
              </w:rPr>
              <w:t>de mediu</w:t>
            </w:r>
          </w:p>
          <w:p>
            <w:pPr>
              <w:pStyle w:val="Normal"/>
              <w:widowControl w:val="false"/>
              <w:spacing w:beforeAutospacing="1" w:after="0"/>
              <w:contextualSpacing/>
              <w:jc w:val="center"/>
              <w:rPr>
                <w:sz w:val="20"/>
                <w:szCs w:val="20"/>
              </w:rPr>
            </w:pPr>
            <w:r>
              <w:rPr>
                <w:b/>
                <w:bCs/>
                <w:sz w:val="20"/>
                <w:szCs w:val="20"/>
              </w:rPr>
              <w:t>(6%)</w:t>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Consumul de energie</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Variația anuală a consumului total de energie = [(Consum_t – Consum_t-1) / Consum_t-1] × 100.</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w:t>
            </w:r>
            <w:r>
              <w:rPr>
                <w:sz w:val="20"/>
                <w:szCs w:val="20"/>
              </w:rPr>
              <w:t>1,30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1,30</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1,30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1,30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1,30</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1,30</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center"/>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Emisiile din domeniul de aplicare 1</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Variația anuală a emisiilor generate direct de instalațiile și utilajele societății, exprimate în tone CO2 echivalent.</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w:t>
            </w:r>
            <w:r>
              <w:rPr>
                <w:sz w:val="20"/>
                <w:szCs w:val="20"/>
              </w:rPr>
              <w:t>5,78</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5,78</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5,78</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5,78</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5,78</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5,78</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center"/>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Emisiile din domeniul de aplicare 2</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Variația anuală a emisiilor indirecte rezultate din producerea energiei achiziționate, exprimate în tone CO2 echivalent.</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w:t>
            </w:r>
            <w:r>
              <w:rPr>
                <w:sz w:val="20"/>
                <w:szCs w:val="20"/>
              </w:rPr>
              <w:t>0,80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0,80</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0,80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0,80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0,80</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w:t>
            </w:r>
            <w:r>
              <w:rPr>
                <w:b/>
                <w:bCs/>
                <w:sz w:val="20"/>
                <w:szCs w:val="20"/>
              </w:rPr>
              <w:t>0,80</w:t>
            </w:r>
          </w:p>
        </w:tc>
      </w:tr>
      <w:tr>
        <w:trPr/>
        <w:tc>
          <w:tcPr>
            <w:tcW w:w="1498" w:type="dxa"/>
            <w:vMerge w:val="restart"/>
            <w:tcBorders>
              <w:top w:val="single" w:sz="2" w:space="0" w:color="B4C6E7"/>
              <w:left w:val="single" w:sz="4" w:space="0" w:color="8EA9DB"/>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Autospacing="1"/>
              <w:contextualSpacing/>
              <w:jc w:val="center"/>
              <w:rPr>
                <w:sz w:val="20"/>
                <w:szCs w:val="20"/>
              </w:rPr>
            </w:pPr>
            <w:r>
              <w:rPr>
                <w:b/>
                <w:bCs/>
                <w:sz w:val="20"/>
                <w:szCs w:val="20"/>
              </w:rPr>
              <w:t>c) Indicatori</w:t>
            </w:r>
          </w:p>
          <w:p>
            <w:pPr>
              <w:pStyle w:val="Normal"/>
              <w:widowControl w:val="false"/>
              <w:spacing w:beforeAutospacing="1" w:afterAutospacing="1"/>
              <w:contextualSpacing/>
              <w:jc w:val="center"/>
              <w:rPr>
                <w:sz w:val="20"/>
                <w:szCs w:val="20"/>
              </w:rPr>
            </w:pPr>
            <w:r>
              <w:rPr>
                <w:b/>
                <w:bCs/>
                <w:sz w:val="20"/>
                <w:szCs w:val="20"/>
              </w:rPr>
              <w:t>referitori la</w:t>
            </w:r>
          </w:p>
          <w:p>
            <w:pPr>
              <w:pStyle w:val="Normal"/>
              <w:widowControl w:val="false"/>
              <w:spacing w:beforeAutospacing="1" w:after="0"/>
              <w:contextualSpacing/>
              <w:jc w:val="center"/>
              <w:rPr>
                <w:sz w:val="20"/>
                <w:szCs w:val="20"/>
              </w:rPr>
            </w:pPr>
            <w:r>
              <w:rPr>
                <w:b/>
                <w:bCs/>
                <w:sz w:val="20"/>
                <w:szCs w:val="20"/>
              </w:rPr>
              <w:t>clienți (6%)</w:t>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de retenție a clienților</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 de clienți_t – Număr de clienți noi_t) / Număr de clienți_t-1] × 100.</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80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80</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80</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80</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center"/>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Scorul satisfacției clienților</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(Total număr de evaluări de 4 și 5_t / Total număr de evaluări_t) × 100, determinat prin sondaj anual în rândul beneficiarilor.</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73</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73</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73</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74</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75</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75</w:t>
            </w:r>
          </w:p>
        </w:tc>
      </w:tr>
      <w:tr>
        <w:trPr/>
        <w:tc>
          <w:tcPr>
            <w:tcW w:w="1498" w:type="dxa"/>
            <w:vMerge w:val="restart"/>
            <w:tcBorders>
              <w:top w:val="single" w:sz="2" w:space="0" w:color="B4C6E7"/>
              <w:left w:val="single" w:sz="4" w:space="0" w:color="8EA9DB"/>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Autospacing="1"/>
              <w:contextualSpacing/>
              <w:jc w:val="center"/>
              <w:rPr>
                <w:sz w:val="20"/>
                <w:szCs w:val="20"/>
              </w:rPr>
            </w:pPr>
            <w:r>
              <w:rPr>
                <w:b/>
                <w:bCs/>
                <w:sz w:val="20"/>
                <w:szCs w:val="20"/>
              </w:rPr>
              <w:t>d) Indicatori</w:t>
            </w:r>
          </w:p>
          <w:p>
            <w:pPr>
              <w:pStyle w:val="Normal"/>
              <w:widowControl w:val="false"/>
              <w:spacing w:beforeAutospacing="1" w:afterAutospacing="1"/>
              <w:contextualSpacing/>
              <w:jc w:val="center"/>
              <w:rPr>
                <w:sz w:val="20"/>
                <w:szCs w:val="20"/>
              </w:rPr>
            </w:pPr>
            <w:r>
              <w:rPr>
                <w:b/>
                <w:bCs/>
                <w:sz w:val="20"/>
                <w:szCs w:val="20"/>
              </w:rPr>
              <w:t>referitori la</w:t>
            </w:r>
          </w:p>
          <w:p>
            <w:pPr>
              <w:pStyle w:val="Normal"/>
              <w:widowControl w:val="false"/>
              <w:spacing w:beforeAutospacing="1" w:afterAutospacing="1"/>
              <w:contextualSpacing/>
              <w:jc w:val="center"/>
              <w:rPr>
                <w:sz w:val="20"/>
                <w:szCs w:val="20"/>
              </w:rPr>
            </w:pPr>
            <w:r>
              <w:rPr>
                <w:b/>
                <w:bCs/>
                <w:sz w:val="20"/>
                <w:szCs w:val="20"/>
              </w:rPr>
              <w:t>angajați și</w:t>
            </w:r>
          </w:p>
          <w:p>
            <w:pPr>
              <w:pStyle w:val="Normal"/>
              <w:widowControl w:val="false"/>
              <w:spacing w:beforeAutospacing="1" w:afterAutospacing="1"/>
              <w:contextualSpacing/>
              <w:jc w:val="center"/>
              <w:rPr>
                <w:sz w:val="20"/>
                <w:szCs w:val="20"/>
              </w:rPr>
            </w:pPr>
            <w:r>
              <w:rPr>
                <w:b/>
                <w:bCs/>
                <w:sz w:val="20"/>
                <w:szCs w:val="20"/>
              </w:rPr>
              <w:t>egalitatea de gen</w:t>
            </w:r>
          </w:p>
          <w:p>
            <w:pPr>
              <w:pStyle w:val="Normal"/>
              <w:widowControl w:val="false"/>
              <w:spacing w:beforeAutospacing="1" w:after="0"/>
              <w:contextualSpacing/>
              <w:jc w:val="center"/>
              <w:rPr>
                <w:sz w:val="20"/>
                <w:szCs w:val="20"/>
              </w:rPr>
            </w:pPr>
            <w:r>
              <w:rPr>
                <w:b/>
                <w:bCs/>
                <w:sz w:val="20"/>
                <w:szCs w:val="20"/>
              </w:rPr>
              <w:t>(6%)</w:t>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Numărul mediu de ore de formare per angajat</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Total număr de ore de formare profesională_t / Număr total de angajați_t.</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18</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18</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18</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18</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18</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18</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Instituirea unui sistem de siguranță a angajaților</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Existența și actualizarea anuală a sistemului de securitate și sănătate în muncă, evaluată documentar.</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Da/Nu</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Da</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Da</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Da</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Da</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Da</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Da</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Numărul total de instruiri în materie de siguranță</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Numărul total de instruiri în materie de securitate și sănătate în muncă realizate pe parcursul anului.</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4</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Frecvența totală a vătămărilor înregistrate</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(Numărul de accidente de muncă înregistrate_t × 1.000.000) / Numărul total de ore lucrate de către toți angajații_t.</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Diferența de remunerare între angajații de sex feminin și cei de sex masculin</w:t>
            </w:r>
          </w:p>
        </w:tc>
        <w:tc>
          <w:tcPr>
            <w:tcW w:w="359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[(Salariul mediu lunar al angajaților de sex masculin_t – Salariul mediu lunar al angajaților de sex feminin_t) / Salariul mediu lunar al angajaților de sex masculin_t] × 100.</w:t>
            </w:r>
          </w:p>
        </w:tc>
        <w:tc>
          <w:tcPr>
            <w:tcW w:w="700"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c>
          <w:tcPr>
            <w:tcW w:w="1145"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c>
          <w:tcPr>
            <w:tcW w:w="1144" w:type="dxa"/>
            <w:tcBorders>
              <w:top w:val="single" w:sz="2" w:space="0" w:color="B4C6E7"/>
              <w:left w:val="single" w:sz="2" w:space="0" w:color="B4C6E7"/>
              <w:bottom w:val="single" w:sz="2" w:space="0" w:color="B4C6E7"/>
              <w:right w:val="single" w:sz="2" w:space="0" w:color="B4C6E7"/>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c>
          <w:tcPr>
            <w:tcW w:w="1142" w:type="dxa"/>
            <w:tcBorders>
              <w:top w:val="single" w:sz="2" w:space="0" w:color="B4C6E7"/>
              <w:left w:val="single" w:sz="2" w:space="0" w:color="B4C6E7"/>
              <w:bottom w:val="single" w:sz="2" w:space="0" w:color="B4C6E7"/>
              <w:right w:val="single" w:sz="4" w:space="0" w:color="8EA9DB"/>
            </w:tcBorders>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0</w:t>
            </w:r>
          </w:p>
        </w:tc>
      </w:tr>
      <w:tr>
        <w:trPr/>
        <w:tc>
          <w:tcPr>
            <w:tcW w:w="1498" w:type="dxa"/>
            <w:vMerge w:val="restart"/>
            <w:tcBorders>
              <w:top w:val="single" w:sz="2" w:space="0" w:color="B4C6E7"/>
              <w:left w:val="single" w:sz="4" w:space="0" w:color="8EA9DB"/>
              <w:bottom w:val="single" w:sz="4" w:space="0" w:color="8EA9DB"/>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Autospacing="1"/>
              <w:contextualSpacing/>
              <w:jc w:val="both"/>
              <w:rPr>
                <w:sz w:val="20"/>
                <w:szCs w:val="20"/>
              </w:rPr>
            </w:pPr>
            <w:r>
              <w:rPr>
                <w:b/>
                <w:bCs/>
                <w:sz w:val="20"/>
                <w:szCs w:val="20"/>
              </w:rPr>
              <w:t>e) Indicatori</w:t>
            </w:r>
          </w:p>
          <w:p>
            <w:pPr>
              <w:pStyle w:val="Normal"/>
              <w:widowControl w:val="false"/>
              <w:spacing w:beforeAutospacing="1" w:afterAutospacing="1"/>
              <w:contextualSpacing/>
              <w:jc w:val="both"/>
              <w:rPr>
                <w:sz w:val="20"/>
                <w:szCs w:val="20"/>
              </w:rPr>
            </w:pPr>
            <w:r>
              <w:rPr>
                <w:b/>
                <w:bCs/>
                <w:sz w:val="20"/>
                <w:szCs w:val="20"/>
              </w:rPr>
              <w:t>de guvernanță</w:t>
            </w:r>
          </w:p>
          <w:p>
            <w:pPr>
              <w:pStyle w:val="Normal"/>
              <w:widowControl w:val="false"/>
              <w:spacing w:beforeAutospacing="1" w:afterAutospacing="1"/>
              <w:contextualSpacing/>
              <w:jc w:val="both"/>
              <w:rPr>
                <w:sz w:val="20"/>
                <w:szCs w:val="20"/>
              </w:rPr>
            </w:pPr>
            <w:r>
              <w:rPr>
                <w:b/>
                <w:bCs/>
                <w:sz w:val="20"/>
                <w:szCs w:val="20"/>
              </w:rPr>
              <w:t>corporativă</w:t>
            </w:r>
          </w:p>
          <w:p>
            <w:pPr>
              <w:pStyle w:val="Normal"/>
              <w:widowControl w:val="false"/>
              <w:spacing w:beforeAutospacing="1" w:after="0"/>
              <w:contextualSpacing/>
              <w:jc w:val="both"/>
              <w:rPr>
                <w:sz w:val="20"/>
                <w:szCs w:val="20"/>
              </w:rPr>
            </w:pPr>
            <w:r>
              <w:rPr>
                <w:b/>
                <w:bCs/>
                <w:sz w:val="20"/>
                <w:szCs w:val="20"/>
              </w:rPr>
              <w:t>(7%)</w:t>
            </w:r>
          </w:p>
        </w:tc>
        <w:tc>
          <w:tcPr>
            <w:tcW w:w="209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membrilor independenți în Consiliul de Administrație</w:t>
            </w:r>
          </w:p>
        </w:tc>
        <w:tc>
          <w:tcPr>
            <w:tcW w:w="359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(Numărul total de membri neexecutivi și independenți în C.A._t / Numărul total de membri ai C.A._t) × 100.</w:t>
            </w:r>
          </w:p>
        </w:tc>
        <w:tc>
          <w:tcPr>
            <w:tcW w:w="70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&gt; 50</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66,67</w:t>
            </w:r>
          </w:p>
        </w:tc>
        <w:tc>
          <w:tcPr>
            <w:tcW w:w="1145"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66,67</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66,67</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66,67</w:t>
            </w:r>
          </w:p>
        </w:tc>
        <w:tc>
          <w:tcPr>
            <w:tcW w:w="1142" w:type="dxa"/>
            <w:tcBorders>
              <w:top w:val="single" w:sz="2" w:space="0" w:color="B4C6E7"/>
              <w:left w:val="single" w:sz="2" w:space="0" w:color="B4C6E7"/>
              <w:bottom w:val="single" w:sz="2" w:space="0" w:color="B4C6E7"/>
              <w:right w:val="single" w:sz="4" w:space="0" w:color="8EA9DB"/>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66,67</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membrilor de sex feminin în Consiliul de Administrație</w:t>
            </w:r>
          </w:p>
        </w:tc>
        <w:tc>
          <w:tcPr>
            <w:tcW w:w="359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(Numărul de membri de sex feminin în C.A._t / Numărul total de membri ai C.A._t) × 100, conform Legii nr. 158/2025.</w:t>
            </w:r>
          </w:p>
        </w:tc>
        <w:tc>
          <w:tcPr>
            <w:tcW w:w="70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33,33</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c>
          <w:tcPr>
            <w:tcW w:w="1145"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c>
          <w:tcPr>
            <w:tcW w:w="1142" w:type="dxa"/>
            <w:tcBorders>
              <w:top w:val="single" w:sz="2" w:space="0" w:color="B4C6E7"/>
              <w:left w:val="single" w:sz="2" w:space="0" w:color="B4C6E7"/>
              <w:bottom w:val="single" w:sz="2" w:space="0" w:color="B4C6E7"/>
              <w:right w:val="single" w:sz="4" w:space="0" w:color="8EA9DB"/>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Numărul de ședințe ale Consiliului de Administrație</w:t>
            </w:r>
          </w:p>
        </w:tc>
        <w:tc>
          <w:tcPr>
            <w:tcW w:w="359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Numărul de ședințe ale C.A. susținute pe parcursul anului_t.</w:t>
            </w:r>
          </w:p>
        </w:tc>
        <w:tc>
          <w:tcPr>
            <w:tcW w:w="70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nr.</w:t>
            </w:r>
          </w:p>
        </w:tc>
        <w:tc>
          <w:tcPr>
            <w:tcW w:w="122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4</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c>
          <w:tcPr>
            <w:tcW w:w="1145"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c>
          <w:tcPr>
            <w:tcW w:w="1142" w:type="dxa"/>
            <w:tcBorders>
              <w:top w:val="single" w:sz="2" w:space="0" w:color="B4C6E7"/>
              <w:left w:val="single" w:sz="2" w:space="0" w:color="B4C6E7"/>
              <w:bottom w:val="single" w:sz="2" w:space="0" w:color="B4C6E7"/>
              <w:right w:val="single" w:sz="4" w:space="0" w:color="8EA9DB"/>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4</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Rata de participare la reuniunile Consiliului de Administrație</w:t>
            </w:r>
          </w:p>
        </w:tc>
        <w:tc>
          <w:tcPr>
            <w:tcW w:w="359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 de participanți la reuniunile C.A._t / (Număr total de membri ai C.A._t × Număr de ședințe_t)] × 100.</w:t>
            </w:r>
          </w:p>
        </w:tc>
        <w:tc>
          <w:tcPr>
            <w:tcW w:w="70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100</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100</w:t>
            </w:r>
          </w:p>
        </w:tc>
        <w:tc>
          <w:tcPr>
            <w:tcW w:w="1145"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100</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100</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100</w:t>
            </w:r>
          </w:p>
        </w:tc>
        <w:tc>
          <w:tcPr>
            <w:tcW w:w="1142" w:type="dxa"/>
            <w:tcBorders>
              <w:top w:val="single" w:sz="2" w:space="0" w:color="B4C6E7"/>
              <w:left w:val="single" w:sz="2" w:space="0" w:color="B4C6E7"/>
              <w:bottom w:val="single" w:sz="2" w:space="0" w:color="B4C6E7"/>
              <w:right w:val="single" w:sz="4" w:space="0" w:color="8EA9DB"/>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100</w:t>
            </w:r>
          </w:p>
        </w:tc>
      </w:tr>
      <w:tr>
        <w:trPr/>
        <w:tc>
          <w:tcPr>
            <w:tcW w:w="1498" w:type="dxa"/>
            <w:vMerge w:val="continue"/>
            <w:tcBorders>
              <w:top w:val="single" w:sz="2" w:space="0" w:color="B4C6E7"/>
              <w:left w:val="single" w:sz="4" w:space="0" w:color="8EA9DB"/>
              <w:bottom w:val="single" w:sz="2" w:space="0" w:color="B4C6E7"/>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Ponderea componentei variabile în remunerarea administratorilor</w:t>
            </w:r>
          </w:p>
        </w:tc>
        <w:tc>
          <w:tcPr>
            <w:tcW w:w="359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(Valoarea componentelor variabile din pachetul de remunerare_t / Valoarea totală a pachetului de remunerare_t) × 100.</w:t>
            </w:r>
          </w:p>
        </w:tc>
        <w:tc>
          <w:tcPr>
            <w:tcW w:w="700"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 xml:space="preserve">≤ </w:t>
            </w:r>
            <w:r>
              <w:rPr>
                <w:sz w:val="20"/>
                <w:szCs w:val="20"/>
              </w:rPr>
              <w:t>33,33</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c>
          <w:tcPr>
            <w:tcW w:w="1145"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c>
          <w:tcPr>
            <w:tcW w:w="1144" w:type="dxa"/>
            <w:tcBorders>
              <w:top w:val="single" w:sz="2" w:space="0" w:color="B4C6E7"/>
              <w:left w:val="single" w:sz="2" w:space="0" w:color="B4C6E7"/>
              <w:bottom w:val="single" w:sz="2" w:space="0" w:color="B4C6E7"/>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c>
          <w:tcPr>
            <w:tcW w:w="1142" w:type="dxa"/>
            <w:tcBorders>
              <w:top w:val="single" w:sz="2" w:space="0" w:color="B4C6E7"/>
              <w:left w:val="single" w:sz="2" w:space="0" w:color="B4C6E7"/>
              <w:bottom w:val="single" w:sz="2" w:space="0" w:color="B4C6E7"/>
              <w:right w:val="single" w:sz="4" w:space="0" w:color="8EA9DB"/>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33,33</w:t>
            </w:r>
          </w:p>
        </w:tc>
      </w:tr>
      <w:tr>
        <w:trPr/>
        <w:tc>
          <w:tcPr>
            <w:tcW w:w="1498" w:type="dxa"/>
            <w:vMerge w:val="continue"/>
            <w:tcBorders>
              <w:top w:val="single" w:sz="2" w:space="0" w:color="B4C6E7"/>
              <w:left w:val="single" w:sz="4" w:space="0" w:color="8EA9DB"/>
              <w:bottom w:val="single" w:sz="4" w:space="0" w:color="8EA9DB"/>
              <w:right w:val="single" w:sz="2" w:space="0" w:color="B4C6E7"/>
            </w:tcBorders>
            <w:shd w:color="auto" w:fill="FFFFFF" w:themeFill="background1" w:val="clear"/>
            <w:tcMar>
              <w:top w:w="0" w:type="dxa"/>
              <w:left w:w="10" w:type="dxa"/>
              <w:bottom w:w="0" w:type="dxa"/>
              <w:right w:w="10" w:type="dxa"/>
            </w:tcMar>
          </w:tcPr>
          <w:p>
            <w:pPr>
              <w:pStyle w:val="Normal"/>
              <w:widowControl w:val="false"/>
              <w:spacing w:beforeAutospacing="1" w:after="0"/>
              <w:contextualSpacing/>
              <w:jc w:val="both"/>
              <w:rPr>
                <w:sz w:val="20"/>
                <w:szCs w:val="20"/>
              </w:rPr>
            </w:pPr>
            <w:r>
              <w:rPr>
                <w:sz w:val="20"/>
                <w:szCs w:val="20"/>
              </w:rPr>
            </w:r>
          </w:p>
        </w:tc>
        <w:tc>
          <w:tcPr>
            <w:tcW w:w="2098" w:type="dxa"/>
            <w:tcBorders>
              <w:top w:val="single" w:sz="2" w:space="0" w:color="B4C6E7"/>
              <w:left w:val="single" w:sz="2" w:space="0" w:color="B4C6E7"/>
              <w:bottom w:val="single" w:sz="4" w:space="0" w:color="8EA9DB"/>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Gradul de transmitere în termen a raportărilor obligatorii</w:t>
            </w:r>
          </w:p>
        </w:tc>
        <w:tc>
          <w:tcPr>
            <w:tcW w:w="3590" w:type="dxa"/>
            <w:tcBorders>
              <w:top w:val="single" w:sz="2" w:space="0" w:color="B4C6E7"/>
              <w:left w:val="single" w:sz="2" w:space="0" w:color="B4C6E7"/>
              <w:bottom w:val="single" w:sz="4" w:space="0" w:color="8EA9DB"/>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both"/>
              <w:rPr>
                <w:sz w:val="20"/>
                <w:szCs w:val="20"/>
              </w:rPr>
            </w:pPr>
            <w:r>
              <w:rPr>
                <w:i/>
                <w:iCs/>
                <w:sz w:val="20"/>
                <w:szCs w:val="20"/>
              </w:rPr>
              <w:t>= (Numărul de raportări transmise în termen către A.P.T. și A.M.E.P.I.P._t / Numărul total de raportări datorate_t) × 100.</w:t>
            </w:r>
          </w:p>
        </w:tc>
        <w:tc>
          <w:tcPr>
            <w:tcW w:w="700" w:type="dxa"/>
            <w:tcBorders>
              <w:top w:val="single" w:sz="2" w:space="0" w:color="B4C6E7"/>
              <w:left w:val="single" w:sz="2" w:space="0" w:color="B4C6E7"/>
              <w:bottom w:val="single" w:sz="4" w:space="0" w:color="8EA9DB"/>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w:t>
            </w:r>
          </w:p>
        </w:tc>
        <w:tc>
          <w:tcPr>
            <w:tcW w:w="1228" w:type="dxa"/>
            <w:tcBorders>
              <w:top w:val="single" w:sz="2" w:space="0" w:color="B4C6E7"/>
              <w:left w:val="single" w:sz="2" w:space="0" w:color="B4C6E7"/>
              <w:bottom w:val="single" w:sz="4" w:space="0" w:color="8EA9DB"/>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sz w:val="20"/>
                <w:szCs w:val="20"/>
              </w:rPr>
              <w:t>n.a.*</w:t>
            </w:r>
          </w:p>
        </w:tc>
        <w:tc>
          <w:tcPr>
            <w:tcW w:w="1144" w:type="dxa"/>
            <w:tcBorders>
              <w:top w:val="single" w:sz="2" w:space="0" w:color="B4C6E7"/>
              <w:left w:val="single" w:sz="2" w:space="0" w:color="B4C6E7"/>
              <w:bottom w:val="single" w:sz="4" w:space="0" w:color="8EA9DB"/>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90</w:t>
            </w:r>
          </w:p>
        </w:tc>
        <w:tc>
          <w:tcPr>
            <w:tcW w:w="1145" w:type="dxa"/>
            <w:tcBorders>
              <w:top w:val="single" w:sz="2" w:space="0" w:color="B4C6E7"/>
              <w:left w:val="single" w:sz="2" w:space="0" w:color="B4C6E7"/>
              <w:bottom w:val="single" w:sz="4" w:space="0" w:color="8EA9DB"/>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 xml:space="preserve">≥ </w:t>
            </w:r>
            <w:r>
              <w:rPr>
                <w:b/>
                <w:bCs/>
                <w:sz w:val="20"/>
                <w:szCs w:val="20"/>
              </w:rPr>
              <w:t>95</w:t>
            </w:r>
          </w:p>
        </w:tc>
        <w:tc>
          <w:tcPr>
            <w:tcW w:w="1144" w:type="dxa"/>
            <w:tcBorders>
              <w:top w:val="single" w:sz="2" w:space="0" w:color="B4C6E7"/>
              <w:left w:val="single" w:sz="2" w:space="0" w:color="B4C6E7"/>
              <w:bottom w:val="single" w:sz="4" w:space="0" w:color="8EA9DB"/>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100</w:t>
            </w:r>
          </w:p>
        </w:tc>
        <w:tc>
          <w:tcPr>
            <w:tcW w:w="1144" w:type="dxa"/>
            <w:tcBorders>
              <w:top w:val="single" w:sz="2" w:space="0" w:color="B4C6E7"/>
              <w:left w:val="single" w:sz="2" w:space="0" w:color="B4C6E7"/>
              <w:bottom w:val="single" w:sz="4" w:space="0" w:color="8EA9DB"/>
              <w:right w:val="single" w:sz="2" w:space="0" w:color="B4C6E7"/>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100</w:t>
            </w:r>
          </w:p>
        </w:tc>
        <w:tc>
          <w:tcPr>
            <w:tcW w:w="1142" w:type="dxa"/>
            <w:tcBorders>
              <w:top w:val="single" w:sz="2" w:space="0" w:color="B4C6E7"/>
              <w:left w:val="single" w:sz="2" w:space="0" w:color="B4C6E7"/>
              <w:bottom w:val="single" w:sz="4" w:space="0" w:color="8EA9DB"/>
              <w:right w:val="single" w:sz="4" w:space="0" w:color="8EA9DB"/>
            </w:tcBorders>
            <w:shd w:color="auto" w:fill="FFFFFF" w:themeFill="background1" w:val="clear"/>
            <w:tcMar>
              <w:top w:w="40" w:type="dxa"/>
              <w:bottom w:w="40" w:type="dxa"/>
            </w:tcMar>
            <w:vAlign w:val="center"/>
          </w:tcPr>
          <w:p>
            <w:pPr>
              <w:pStyle w:val="Normal"/>
              <w:widowControl w:val="false"/>
              <w:spacing w:beforeAutospacing="1" w:after="0"/>
              <w:contextualSpacing/>
              <w:jc w:val="center"/>
              <w:rPr>
                <w:sz w:val="20"/>
                <w:szCs w:val="20"/>
              </w:rPr>
            </w:pPr>
            <w:r>
              <w:rPr>
                <w:b/>
                <w:bCs/>
                <w:sz w:val="20"/>
                <w:szCs w:val="20"/>
              </w:rPr>
              <w:t>100</w:t>
            </w:r>
          </w:p>
        </w:tc>
      </w:tr>
    </w:tbl>
    <w:p>
      <w:pPr>
        <w:pStyle w:val="Normal"/>
        <w:spacing w:before="0" w:after="0"/>
        <w:contextualSpacing/>
        <w:jc w:val="both"/>
        <w:rPr>
          <w:sz w:val="20"/>
          <w:szCs w:val="20"/>
        </w:rPr>
      </w:pPr>
      <w:r>
        <w:rPr>
          <w:sz w:val="20"/>
          <w:szCs w:val="20"/>
        </w:rPr>
      </w:r>
    </w:p>
    <w:p>
      <w:pPr>
        <w:sectPr>
          <w:footerReference w:type="default" r:id="rId7"/>
          <w:footerReference w:type="first" r:id="rId8"/>
          <w:type w:val="nextPage"/>
          <w:pgSz w:orient="landscape" w:w="16838" w:h="11906"/>
          <w:pgMar w:left="1000" w:right="1000" w:gutter="0" w:header="0" w:top="1000" w:footer="708" w:bottom="1000"/>
          <w:pgNumType w:fmt="decimal"/>
          <w:formProt w:val="false"/>
          <w:textDirection w:val="lrTb"/>
          <w:docGrid w:type="default" w:linePitch="360" w:charSpace="0"/>
        </w:sectPr>
        <w:pStyle w:val="Normal"/>
        <w:spacing w:before="0" w:after="0"/>
        <w:ind w:firstLine="708"/>
        <w:contextualSpacing/>
        <w:jc w:val="both"/>
        <w:rPr>
          <w:sz w:val="20"/>
          <w:szCs w:val="20"/>
        </w:rPr>
      </w:pPr>
      <w:r>
        <w:rPr>
          <w:sz w:val="20"/>
          <w:szCs w:val="20"/>
        </w:rPr>
        <w:t>Nivelurile de referință provin din contractele de delegare, din regulamentele serviciilor și din condițiile de licențiere A.N.R.S.C..</w:t>
      </w:r>
    </w:p>
    <w:p>
      <w:pPr>
        <w:pStyle w:val="Heading2"/>
        <w:spacing w:before="0" w:after="0"/>
        <w:contextualSpacing/>
        <w:jc w:val="both"/>
        <w:rPr>
          <w:rFonts w:ascii="Times New Roman" w:hAnsi="Times New Roman" w:cs="Times New Roman"/>
          <w:color w:val="auto"/>
          <w:sz w:val="20"/>
          <w:szCs w:val="20"/>
        </w:rPr>
      </w:pPr>
      <w:bookmarkStart w:id="22" w:name="_Toc723"/>
      <w:r>
        <w:rPr>
          <w:rFonts w:cs="Times New Roman" w:ascii="Times New Roman" w:hAnsi="Times New Roman"/>
          <w:b/>
          <w:bCs/>
          <w:color w:val="auto"/>
          <w:sz w:val="20"/>
          <w:szCs w:val="20"/>
        </w:rPr>
        <w:t>X.4. Precizări metodologice privind nivelurile orientative</w:t>
      </w:r>
      <w:bookmarkEnd w:id="22"/>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Nivelurile orientative de realizare au fost fundamentate pornind de la situațiile financiare aferente exercițiului 2025 și de la bugetul de venituri și cheltuieli aprobat pentru anul 2026, și asigură creșterea progresivă a performanței societăţii pe durata mandatului.</w:t>
      </w:r>
    </w:p>
    <w:p>
      <w:pPr>
        <w:pStyle w:val="Normal"/>
        <w:spacing w:before="0" w:after="0"/>
        <w:ind w:firstLine="708"/>
        <w:contextualSpacing/>
        <w:jc w:val="both"/>
        <w:rPr>
          <w:sz w:val="20"/>
          <w:szCs w:val="20"/>
        </w:rPr>
      </w:pPr>
      <w:r>
        <w:rPr>
          <w:sz w:val="20"/>
          <w:szCs w:val="20"/>
        </w:rPr>
        <w:t xml:space="preserve">Autoritatea Publică Tutelară (UAT Oraşul Pucioasa) a calibrat țintele la nivelul minim compatibil cu respectarea simultană a cerințelor legale, evitând stabilirea unor angajamente superioare celor impuse de cadrul normativ. </w:t>
      </w:r>
    </w:p>
    <w:p>
      <w:pPr>
        <w:pStyle w:val="Normal"/>
        <w:spacing w:before="0" w:after="0"/>
        <w:ind w:firstLine="708"/>
        <w:contextualSpacing/>
        <w:jc w:val="both"/>
        <w:rPr>
          <w:sz w:val="20"/>
          <w:szCs w:val="20"/>
        </w:rPr>
      </w:pPr>
      <w:r>
        <w:rPr>
          <w:sz w:val="20"/>
          <w:szCs w:val="20"/>
        </w:rPr>
        <w:t>Regula de calibrare aplicată este următoarea: pentru fiecare indicator, ținta anuală se stabilește la nivelul cel mai scăzut care satisface concomitent (i) nivelul minim prevăzut de Ordinul A.M.E.P.I.P. nr. 651/2024, (ii) nivelul deja realizat în exercițiul 2025, acolo unde acesta este superior pragului, astfel încât să nu se stabilească ținte regresive, (iii) valorile aprobate prin bugetul de venituri și cheltuieli pentru anul 2026 și (iv) corelațiile matematice dintre indicatori. Următoarele precizări sunt necesare pentru interpretarea corectă a țintelor:</w:t>
      </w:r>
    </w:p>
    <w:p>
      <w:pPr>
        <w:pStyle w:val="ListParagraph"/>
        <w:ind w:left="0" w:hanging="0"/>
        <w:jc w:val="both"/>
        <w:rPr>
          <w:sz w:val="20"/>
          <w:szCs w:val="20"/>
        </w:rPr>
      </w:pPr>
      <w:r>
        <w:rPr>
          <w:sz w:val="20"/>
          <w:szCs w:val="20"/>
        </w:rPr>
      </w:r>
    </w:p>
    <w:p>
      <w:pPr>
        <w:pStyle w:val="ListParagraph"/>
        <w:numPr>
          <w:ilvl w:val="0"/>
          <w:numId w:val="3"/>
        </w:numPr>
        <w:tabs>
          <w:tab w:val="clear" w:pos="708"/>
          <w:tab w:val="left" w:pos="0" w:leader="none"/>
          <w:tab w:val="left" w:pos="284" w:leader="none"/>
        </w:tabs>
        <w:ind w:left="0" w:hanging="0"/>
        <w:jc w:val="both"/>
        <w:rPr>
          <w:sz w:val="20"/>
          <w:szCs w:val="20"/>
        </w:rPr>
      </w:pPr>
      <w:r>
        <w:rPr>
          <w:b/>
          <w:bCs/>
          <w:sz w:val="20"/>
          <w:szCs w:val="20"/>
        </w:rPr>
        <w:t xml:space="preserve">Rata de creștere a cifrei de afaceri nete – anul 2026. </w:t>
      </w:r>
      <w:r>
        <w:rPr>
          <w:sz w:val="20"/>
          <w:szCs w:val="20"/>
        </w:rPr>
        <w:t>Ținta negativă de –11,17% nu reflectă o reducere a activității, ci corectarea unui decalaj de facturare din exercițiile anterioare. La finele anului 2024, ca urmare a limitărilor bugetare ale beneficiarului, au rămas nefacturate serviciile prestate începând cu luna octombrie 2024; acestea au fost facturate în cursul anului 2025, efectul fiind reflectat în veniturile aferente costului producției în curs de execuție, în sumă negativă de 430.079 lei (Anexa nr. 2 la B.V.C., rd. 13). Bugetul aprobat pentru anul 2026 prevede o cifră de afaceri netă de 3.218.631 lei, care corespunde volumului anual normalizat de servicii. Pe bază comparabilă, activitatea anului 2026 se menține la nivelul activității efective a anului 2025. Suplimentar, fundamentarea veniturilor totale pentru anul 2026 nu putea depăși nivelul realizărilor anului precedent, potrivit art. 9 alin. (2) din O.G. nr. 26/2013, întrucât gradul de realizare a veniturilor a fost mai mic de 90% în fiecare dintre exercițiile 2024 și 2025. Începând cu exercițiul 2027, ținta revine la nivelul minim stabilit prin Ordinul A.M.E.P.I.P. nr. 651/2024.</w:t>
      </w:r>
    </w:p>
    <w:p>
      <w:pPr>
        <w:pStyle w:val="ListParagraph"/>
        <w:ind w:left="0" w:hanging="0"/>
        <w:jc w:val="both"/>
        <w:rPr>
          <w:sz w:val="20"/>
          <w:szCs w:val="20"/>
        </w:rPr>
      </w:pPr>
      <w:r>
        <w:rPr>
          <w:sz w:val="20"/>
          <w:szCs w:val="20"/>
        </w:rPr>
      </w:r>
    </w:p>
    <w:p>
      <w:pPr>
        <w:pStyle w:val="ListParagraph"/>
        <w:numPr>
          <w:ilvl w:val="0"/>
          <w:numId w:val="3"/>
        </w:numPr>
        <w:tabs>
          <w:tab w:val="clear" w:pos="708"/>
          <w:tab w:val="left" w:pos="284" w:leader="none"/>
        </w:tabs>
        <w:ind w:left="0" w:hanging="0"/>
        <w:jc w:val="both"/>
        <w:rPr>
          <w:sz w:val="20"/>
          <w:szCs w:val="20"/>
        </w:rPr>
      </w:pPr>
      <w:r>
        <w:rPr>
          <w:b/>
          <w:bCs/>
          <w:sz w:val="20"/>
          <w:szCs w:val="20"/>
        </w:rPr>
        <w:t xml:space="preserve">Rata de rotație a creanțelor – anul 2026. </w:t>
      </w:r>
      <w:r>
        <w:rPr>
          <w:sz w:val="20"/>
          <w:szCs w:val="20"/>
        </w:rPr>
        <w:t>Formula prevăzută în Anexa nr. 2a la H.G. nr. 639/2023 utilizează media aritmetică a soldului creanțelor la începutul și la sfârșitul perioadei. Întrucât soldul de deschidere al anului 2026 include creanțele acumulate la 31.12.2025 – încasate integral în lunile martie - aprilie 2026 – media anuală rămâne ridicată în primul an de mandat, chiar în condițiile normalizării complete a încasărilor. Începând cu exercițiul 2027, indicatorul depășește nivelul minim stabilit prin Ordinul A.M.E.P.I.P. nr. 651/2024, țintele fiind corelate cu obiectivul de menținere a unui termen mediu de încasare de cel mult 50 de zile.</w:t>
      </w:r>
    </w:p>
    <w:p>
      <w:pPr>
        <w:pStyle w:val="ListParagraph"/>
        <w:ind w:left="0" w:hanging="0"/>
        <w:jc w:val="both"/>
        <w:rPr>
          <w:sz w:val="20"/>
          <w:szCs w:val="20"/>
        </w:rPr>
      </w:pPr>
      <w:r>
        <w:rPr>
          <w:sz w:val="20"/>
          <w:szCs w:val="20"/>
        </w:rPr>
      </w:r>
    </w:p>
    <w:p>
      <w:pPr>
        <w:pStyle w:val="ListParagraph"/>
        <w:numPr>
          <w:ilvl w:val="0"/>
          <w:numId w:val="3"/>
        </w:numPr>
        <w:tabs>
          <w:tab w:val="clear" w:pos="708"/>
          <w:tab w:val="left" w:pos="284" w:leader="none"/>
        </w:tabs>
        <w:ind w:left="0" w:hanging="0"/>
        <w:jc w:val="both"/>
        <w:rPr>
          <w:sz w:val="20"/>
          <w:szCs w:val="20"/>
        </w:rPr>
      </w:pPr>
      <w:r>
        <w:rPr>
          <w:b/>
          <w:bCs/>
          <w:sz w:val="20"/>
          <w:szCs w:val="20"/>
        </w:rPr>
        <w:t xml:space="preserve">Rata de creștere anuală a profitului – anul 2026. </w:t>
      </w:r>
      <w:r>
        <w:rPr>
          <w:sz w:val="20"/>
          <w:szCs w:val="20"/>
        </w:rPr>
        <w:t>Indicatorul se determină, potrivit Anexei nr. 2a la H.G. nr. 639/2023, pe baza profitului net. Bugetul de venituri și cheltuieli aprobat pentru anul 2026 prevede un profit net de 53.086 lei, față de 51.573 lei realizat în exercițiul 2025, respectiv o creștere de 2,93%. Rezultatul brut crește cu 11,04%, de la 60.344 lei la 67.007 lei, însă majorarea impozitului pe profit curent diminuează creșterea profitului net sub nivelul minim de 11,03%. Ținta pentru anul 2026 este stabilită la nivelul bugetului aprobat. Pentru exercițiile 2027–2030, ținta de 13,25% pe an nu reprezintă o cerință suplimentară față de minimul legal, ci nivelul minim impus de corelația dintre indicatori: o creștere anuală a profitului net de exact 11,03% ar conduce, la finalul mandatului, la un profit net de 80.675 lei și la o marjă netă de 2,27%, sub nivelul minim de 2,46% prevăzut pentru acest din urmă indicator. Respectarea simultană a ambelor praguri impune un profit net de cel puțin 87.330 lei în exercițiul 2030, respectiv o creștere medie anuală de 13,25%. Principalele pârghii sunt reinvestirea profitului în condițiile art. 22 din Legea nr. 227/2015 și eliminarea cheltuielilor financiare aferente liniei de credit.</w:t>
      </w:r>
    </w:p>
    <w:p>
      <w:pPr>
        <w:pStyle w:val="ListParagraph"/>
        <w:ind w:left="0" w:hanging="0"/>
        <w:jc w:val="both"/>
        <w:rPr>
          <w:sz w:val="20"/>
          <w:szCs w:val="20"/>
        </w:rPr>
      </w:pPr>
      <w:r>
        <w:rPr>
          <w:sz w:val="20"/>
          <w:szCs w:val="20"/>
        </w:rPr>
      </w:r>
    </w:p>
    <w:p>
      <w:pPr>
        <w:pStyle w:val="ListParagraph"/>
        <w:numPr>
          <w:ilvl w:val="0"/>
          <w:numId w:val="3"/>
        </w:numPr>
        <w:tabs>
          <w:tab w:val="clear" w:pos="708"/>
          <w:tab w:val="left" w:pos="284" w:leader="none"/>
        </w:tabs>
        <w:ind w:left="0" w:hanging="0"/>
        <w:jc w:val="both"/>
        <w:rPr>
          <w:sz w:val="20"/>
          <w:szCs w:val="20"/>
        </w:rPr>
      </w:pPr>
      <w:r>
        <w:rPr>
          <w:b/>
          <w:bCs/>
          <w:sz w:val="20"/>
          <w:szCs w:val="20"/>
        </w:rPr>
        <w:t xml:space="preserve">Efectul normalizării încasărilor asupra structurii bilanțiere. </w:t>
      </w:r>
      <w:r>
        <w:rPr>
          <w:sz w:val="20"/>
          <w:szCs w:val="20"/>
        </w:rPr>
        <w:t>Încasarea integrală a creanțelor restante în lunile martie - aprilie 2026 permite stingerea plăților restante și rambursarea liniei de credit, cu efect direct asupra reducerii datoriilor totale și a bazei de active. Ca urmare, indicatorii de levier, de lichiditate și de rotație a stocurilor se situează peste nivelurile minime stabilite prin Ordinul A.M.E.P.I.P. nr. 651/2024 încă din primul an de mandat.</w:t>
      </w:r>
    </w:p>
    <w:p>
      <w:pPr>
        <w:pStyle w:val="ListParagraph"/>
        <w:ind w:left="0" w:hanging="0"/>
        <w:jc w:val="both"/>
        <w:rPr>
          <w:sz w:val="20"/>
          <w:szCs w:val="20"/>
        </w:rPr>
      </w:pPr>
      <w:r>
        <w:rPr>
          <w:sz w:val="20"/>
          <w:szCs w:val="20"/>
        </w:rPr>
      </w:r>
    </w:p>
    <w:p>
      <w:pPr>
        <w:pStyle w:val="ListParagraph"/>
        <w:numPr>
          <w:ilvl w:val="0"/>
          <w:numId w:val="3"/>
        </w:numPr>
        <w:tabs>
          <w:tab w:val="clear" w:pos="708"/>
          <w:tab w:val="left" w:pos="284" w:leader="none"/>
        </w:tabs>
        <w:ind w:left="0" w:hanging="0"/>
        <w:jc w:val="both"/>
        <w:rPr>
          <w:sz w:val="20"/>
          <w:szCs w:val="20"/>
        </w:rPr>
      </w:pPr>
      <w:r>
        <w:rPr>
          <w:b/>
          <w:bCs/>
          <w:sz w:val="20"/>
          <w:szCs w:val="20"/>
        </w:rPr>
        <w:t xml:space="preserve">Rata de rotație a activelor – anii 2026 și 2027. </w:t>
      </w:r>
      <w:r>
        <w:rPr>
          <w:sz w:val="20"/>
          <w:szCs w:val="20"/>
        </w:rPr>
        <w:t>Indicatorul se determină, potrivit Anexei nr. 2a la H.G. nr. 639/2023, prin raportarea cifrei de afaceri nete la valoarea medie a tuturor activelor, iar nu la valoarea acestora de la sfârșitul perioadei. Întrucât media aritmetică a exercițiului 2026 include valoarea activelor de la 31.12.2025, majorată de creanțele restante existente la acea dată, indicatorul se situează sub nivelul minim în primii doi ani de mandat, chiar în condițiile stingerii integrale a plăților restante. Începând cu exercițiul 2028, pe măsură ce baza de active se stabilizează la nivelul de după normalizarea încasărilor, indicatorul depășește nivelul minim de 1,38.</w:t>
      </w:r>
    </w:p>
    <w:p>
      <w:pPr>
        <w:pStyle w:val="ListParagraph"/>
        <w:ind w:left="0" w:hanging="0"/>
        <w:jc w:val="both"/>
        <w:rPr>
          <w:sz w:val="20"/>
          <w:szCs w:val="20"/>
        </w:rPr>
      </w:pPr>
      <w:r>
        <w:rPr>
          <w:sz w:val="20"/>
          <w:szCs w:val="20"/>
        </w:rPr>
      </w:r>
    </w:p>
    <w:p>
      <w:pPr>
        <w:pStyle w:val="ListParagraph"/>
        <w:numPr>
          <w:ilvl w:val="0"/>
          <w:numId w:val="3"/>
        </w:numPr>
        <w:tabs>
          <w:tab w:val="clear" w:pos="708"/>
          <w:tab w:val="left" w:pos="284" w:leader="none"/>
        </w:tabs>
        <w:ind w:left="0" w:hanging="0"/>
        <w:jc w:val="both"/>
        <w:rPr>
          <w:sz w:val="20"/>
          <w:szCs w:val="20"/>
        </w:rPr>
      </w:pPr>
      <w:r>
        <w:rPr>
          <w:b/>
          <w:bCs/>
          <w:sz w:val="20"/>
          <w:szCs w:val="20"/>
        </w:rPr>
        <w:t xml:space="preserve">Indicatorii de rentabilitate. </w:t>
      </w:r>
      <w:r>
        <w:rPr>
          <w:sz w:val="20"/>
          <w:szCs w:val="20"/>
        </w:rPr>
        <w:t>Rentabilitatea capitalului propriu, rentabilitatea activelor și marja netă a profitului nu sunt indicatori independenți: toți trei derivă din același profit net și din aceeași structură bilanțieră. Țintele urmează, în consecință, traiectoria minimă a profitului net descrisă mai sus, atingând nivelul minim prevăzut de Ordinul A.M.E.P.I.P. nr. 651/2024 pentru rentabilitatea capitalului propriu în exercițiul 2029, iar pentru rentabilitatea activelor și marja netă a profitului în exercițiul 2030, ultimul an al mandatului. Pârghiile principale sunt eliminarea cheltuielilor financiare aferente liniei de credit și a dobânzilor de întârziere, actualizarea anuală a tarifelor conform art. 9 alin. (2^8) din O.G. nr. 26/2013 și reinvestirea profitului în condițiile art. 22 din Legea nr. 227/2015.</w:t>
      </w:r>
    </w:p>
    <w:p>
      <w:pPr>
        <w:pStyle w:val="ListParagraph"/>
        <w:ind w:left="0" w:hanging="0"/>
        <w:jc w:val="both"/>
        <w:rPr>
          <w:sz w:val="20"/>
          <w:szCs w:val="20"/>
        </w:rPr>
      </w:pPr>
      <w:r>
        <w:rPr>
          <w:sz w:val="20"/>
          <w:szCs w:val="20"/>
        </w:rPr>
      </w:r>
    </w:p>
    <w:p>
      <w:pPr>
        <w:pStyle w:val="ListParagraph"/>
        <w:numPr>
          <w:ilvl w:val="0"/>
          <w:numId w:val="3"/>
        </w:numPr>
        <w:tabs>
          <w:tab w:val="clear" w:pos="708"/>
          <w:tab w:val="left" w:pos="284" w:leader="none"/>
        </w:tabs>
        <w:ind w:left="0" w:hanging="0"/>
        <w:jc w:val="both"/>
        <w:rPr>
          <w:sz w:val="20"/>
          <w:szCs w:val="20"/>
        </w:rPr>
      </w:pPr>
      <w:r>
        <w:rPr>
          <w:b/>
          <w:bCs/>
          <w:sz w:val="20"/>
          <w:szCs w:val="20"/>
        </w:rPr>
        <w:t xml:space="preserve">Indicatorii situați structural peste pragul minim. </w:t>
      </w:r>
      <w:r>
        <w:rPr>
          <w:sz w:val="20"/>
          <w:szCs w:val="20"/>
        </w:rPr>
        <w:t>Pentru rata de rotație a stocurilor, ratele de lichiditate și marja profitului din exploatare, societatea se situa peste nivelul minim încă din exercițiul 2025, ca urmare a specificului activității de prestări servicii, care presupune stocuri și imobilizări reduse. Pentru acești indicatori, țintele nu au fost coborâte la nivelul minim prevăzut de Ordinul A.M.E.P.I.P. nr. 651/2024, întrucât aceasta ar fi echivalat cu stabilirea unor obiective regresive față de performanța deja realizată; ele au fost stabilite la nivelul realizat, cu o progresie anuală minimă. Nivelul ratei de rotație a stocurilor pentru anul 2026 reflectă și diminuarea cifrei de afaceri nete explicată mai sus.</w:t>
      </w:r>
    </w:p>
    <w:p>
      <w:pPr>
        <w:pStyle w:val="ListParagraph"/>
        <w:ind w:left="0" w:hanging="0"/>
        <w:jc w:val="both"/>
        <w:rPr>
          <w:sz w:val="20"/>
          <w:szCs w:val="20"/>
        </w:rPr>
      </w:pPr>
      <w:r>
        <w:rPr>
          <w:sz w:val="20"/>
          <w:szCs w:val="20"/>
        </w:rPr>
      </w:r>
    </w:p>
    <w:p>
      <w:pPr>
        <w:pStyle w:val="ListParagraph"/>
        <w:numPr>
          <w:ilvl w:val="0"/>
          <w:numId w:val="3"/>
        </w:numPr>
        <w:tabs>
          <w:tab w:val="clear" w:pos="708"/>
          <w:tab w:val="left" w:pos="284" w:leader="none"/>
        </w:tabs>
        <w:ind w:left="0" w:hanging="0"/>
        <w:jc w:val="both"/>
        <w:rPr>
          <w:sz w:val="20"/>
          <w:szCs w:val="20"/>
        </w:rPr>
      </w:pPr>
      <w:r>
        <w:rPr>
          <w:b/>
          <w:bCs/>
          <w:sz w:val="20"/>
          <w:szCs w:val="20"/>
        </w:rPr>
        <w:t xml:space="preserve">Caracterul orientativ al valorilor. </w:t>
      </w:r>
      <w:r>
        <w:rPr>
          <w:sz w:val="20"/>
          <w:szCs w:val="20"/>
        </w:rPr>
        <w:t>Potrivit art. 2 alin. (3) din Anexa nr. 1b la H.G. nr. 639/2023, valorile din prezentul capitol au caracter orientativ și sunt recomandate organelor de administrare și conducere. Nivelurile definitive ale ICP se stabilesc prin negociere și se înscriu ca anexă la contractele de mandat, fără a putea coborî sub nivelurile minime stabilite prin Ordinul A.M.E.P.I.P. nr. 651/2024, cu excepția situațiilor în care o normă legală imperativă impune altfel, situații care vor fi justificate în mod expres.</w:t>
      </w:r>
    </w:p>
    <w:p>
      <w:pPr>
        <w:pStyle w:val="ListParagraph"/>
        <w:ind w:left="0" w:hanging="0"/>
        <w:jc w:val="both"/>
        <w:rPr>
          <w:sz w:val="20"/>
          <w:szCs w:val="20"/>
        </w:rPr>
      </w:pPr>
      <w:r>
        <w:rPr>
          <w:sz w:val="20"/>
          <w:szCs w:val="20"/>
        </w:rPr>
      </w:r>
    </w:p>
    <w:p>
      <w:pPr>
        <w:pStyle w:val="ListParagraph"/>
        <w:numPr>
          <w:ilvl w:val="0"/>
          <w:numId w:val="3"/>
        </w:numPr>
        <w:tabs>
          <w:tab w:val="clear" w:pos="708"/>
          <w:tab w:val="left" w:pos="284" w:leader="none"/>
        </w:tabs>
        <w:ind w:left="0" w:hanging="0"/>
        <w:jc w:val="both"/>
        <w:rPr>
          <w:sz w:val="20"/>
          <w:szCs w:val="20"/>
        </w:rPr>
      </w:pPr>
      <w:r>
        <w:rPr>
          <w:b/>
          <w:bCs/>
          <w:sz w:val="20"/>
          <w:szCs w:val="20"/>
        </w:rPr>
        <w:t xml:space="preserve">Revizuirea țintelor. </w:t>
      </w:r>
      <w:r>
        <w:rPr>
          <w:sz w:val="20"/>
          <w:szCs w:val="20"/>
        </w:rPr>
        <w:t>Țintele anuale pot fi revizuite prin Act Adițional la Contractele de mandat, cu aprobarea Autorității Publice Tutelare (UAT Oraşul Pucioasa), în cazul modificării semnificative a condițiilor de operare, în special ca urmare a reînnoirii Contractelor de delegare care expiră în anul 2027 sau a modificării cadrului legal aplicabil.</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23" w:name="_Toc724"/>
      <w:r>
        <w:rPr>
          <w:sz w:val="20"/>
          <w:szCs w:val="20"/>
        </w:rPr>
        <w:t>XI. ETICĂ, INTEGRITATE ȘI GUVERNANȚĂ CORPORATIVĂ</w:t>
      </w:r>
      <w:bookmarkEnd w:id="23"/>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Autoritatea Publică Tutelară (UAT Oraşul Pucioasa),  se așteaptă ca membrii Consiliului de Administrație să respecte și să promoveze:</w:t>
      </w:r>
    </w:p>
    <w:p>
      <w:pPr>
        <w:pStyle w:val="ListParagraph"/>
        <w:numPr>
          <w:ilvl w:val="0"/>
          <w:numId w:val="3"/>
        </w:numPr>
        <w:ind w:left="426" w:hanging="0"/>
        <w:jc w:val="both"/>
        <w:rPr>
          <w:sz w:val="20"/>
          <w:szCs w:val="20"/>
        </w:rPr>
      </w:pPr>
      <w:r>
        <w:rPr>
          <w:sz w:val="20"/>
          <w:szCs w:val="20"/>
        </w:rPr>
        <w:t>Codul de etică al societății și principiile de integritate prevăzute de O.U.G. nr. 109/2011;</w:t>
      </w:r>
    </w:p>
    <w:p>
      <w:pPr>
        <w:pStyle w:val="ListParagraph"/>
        <w:numPr>
          <w:ilvl w:val="0"/>
          <w:numId w:val="3"/>
        </w:numPr>
        <w:ind w:left="426" w:hanging="0"/>
        <w:jc w:val="both"/>
        <w:rPr>
          <w:sz w:val="20"/>
          <w:szCs w:val="20"/>
        </w:rPr>
      </w:pPr>
      <w:r>
        <w:rPr>
          <w:sz w:val="20"/>
          <w:szCs w:val="20"/>
        </w:rPr>
        <w:t>regulile privind evitarea conflictelor de interese și declararea promptă a incompatibilităților;</w:t>
      </w:r>
    </w:p>
    <w:p>
      <w:pPr>
        <w:pStyle w:val="ListParagraph"/>
        <w:numPr>
          <w:ilvl w:val="0"/>
          <w:numId w:val="3"/>
        </w:numPr>
        <w:ind w:left="426" w:hanging="0"/>
        <w:jc w:val="both"/>
        <w:rPr>
          <w:sz w:val="20"/>
          <w:szCs w:val="20"/>
        </w:rPr>
      </w:pPr>
      <w:r>
        <w:rPr>
          <w:sz w:val="20"/>
          <w:szCs w:val="20"/>
        </w:rPr>
        <w:t>transparența în adoptarea deciziilor și în relația cu Adunarea Generală a Asociaților, cu Autoritatea Publică Tutelară și cu publicul;</w:t>
      </w:r>
    </w:p>
    <w:p>
      <w:pPr>
        <w:pStyle w:val="ListParagraph"/>
        <w:numPr>
          <w:ilvl w:val="0"/>
          <w:numId w:val="3"/>
        </w:numPr>
        <w:ind w:left="426" w:hanging="0"/>
        <w:jc w:val="both"/>
        <w:rPr>
          <w:sz w:val="20"/>
          <w:szCs w:val="20"/>
        </w:rPr>
      </w:pPr>
      <w:r>
        <w:rPr>
          <w:sz w:val="20"/>
          <w:szCs w:val="20"/>
        </w:rPr>
        <w:t>principiile de guvernanță corporativă ale O.C.D.E. aplicabile întreprinderilor publice;</w:t>
      </w:r>
    </w:p>
    <w:p>
      <w:pPr>
        <w:pStyle w:val="ListParagraph"/>
        <w:numPr>
          <w:ilvl w:val="0"/>
          <w:numId w:val="3"/>
        </w:numPr>
        <w:ind w:left="426" w:hanging="0"/>
        <w:jc w:val="both"/>
        <w:rPr>
          <w:sz w:val="20"/>
          <w:szCs w:val="20"/>
        </w:rPr>
      </w:pPr>
      <w:r>
        <w:rPr>
          <w:sz w:val="20"/>
          <w:szCs w:val="20"/>
        </w:rPr>
        <w:t>nediscriminarea și promovarea diversității de gen în structura organelor de conducere, cel puțin o treime din membrii Consiliului de Administrație aparținând genului subreprezentat, conform Legii nr. 158/2025;</w:t>
      </w:r>
    </w:p>
    <w:p>
      <w:pPr>
        <w:pStyle w:val="ListParagraph"/>
        <w:numPr>
          <w:ilvl w:val="0"/>
          <w:numId w:val="3"/>
        </w:numPr>
        <w:ind w:left="426" w:hanging="0"/>
        <w:jc w:val="both"/>
        <w:rPr>
          <w:sz w:val="20"/>
          <w:szCs w:val="20"/>
        </w:rPr>
      </w:pPr>
      <w:r>
        <w:rPr>
          <w:sz w:val="20"/>
          <w:szCs w:val="20"/>
        </w:rPr>
        <w:t>valorificarea diversității de competențe profesionale, incluzând expertiză financiar-contabilă și de audit, experiență în administrația publică locală și cunoaștere operațională a serviciilor comunitare de utilități publice;</w:t>
      </w:r>
    </w:p>
    <w:p>
      <w:pPr>
        <w:pStyle w:val="ListParagraph"/>
        <w:numPr>
          <w:ilvl w:val="0"/>
          <w:numId w:val="3"/>
        </w:numPr>
        <w:ind w:left="426" w:hanging="0"/>
        <w:jc w:val="both"/>
        <w:rPr>
          <w:sz w:val="20"/>
          <w:szCs w:val="20"/>
        </w:rPr>
      </w:pPr>
      <w:r>
        <w:rPr>
          <w:sz w:val="20"/>
          <w:szCs w:val="20"/>
        </w:rPr>
        <w:t>imparțialitatea față de orice interes politic, economic sau de altă natură și confidențialitatea informațiilor sensibile ale societății.</w:t>
      </w:r>
    </w:p>
    <w:p>
      <w:pPr>
        <w:pStyle w:val="Normal"/>
        <w:spacing w:before="0" w:after="0"/>
        <w:ind w:firstLine="426"/>
        <w:contextualSpacing/>
        <w:jc w:val="both"/>
        <w:rPr>
          <w:sz w:val="20"/>
          <w:szCs w:val="20"/>
        </w:rPr>
      </w:pPr>
      <w:r>
        <w:rPr>
          <w:sz w:val="20"/>
          <w:szCs w:val="20"/>
        </w:rPr>
        <w:t>Consiliul de Administrație va înființa și va asigura funcționarea Comitetului de audit și a Comitetului de nominalizare și remunerare, conform art. 34 din O.U.G. nr. 109/2011, componența și funcționarea acestora fiind stabilite prin regulamente proprii. Auditorul intern va raporta direct Consiliului de Administrație.</w:t>
      </w:r>
    </w:p>
    <w:p>
      <w:pPr>
        <w:pStyle w:val="Normal"/>
        <w:spacing w:before="0" w:after="0"/>
        <w:ind w:firstLine="426"/>
        <w:contextualSpacing/>
        <w:jc w:val="both"/>
        <w:rPr>
          <w:sz w:val="20"/>
          <w:szCs w:val="20"/>
        </w:rPr>
      </w:pPr>
      <w:r>
        <w:rPr>
          <w:sz w:val="20"/>
          <w:szCs w:val="20"/>
        </w:rPr>
        <w:t>Consiliul de Administrație va elabora și va prezenta Autorității Publice Tutelare (UAT Oraşul Pucioasa),  un Plan de administrare detaliat, în termen de 30 de zile de la numire, cuprinzând obiective, acțiuni și indicatori de performanță, conform art. 30 alin. (1) din O.U.G. nr. 109/2011, și va asigura implementarea Sistemului de Control Intern Managerial, precum și colaborarea cu auditorul financiar extern.</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24" w:name="_Toc725"/>
      <w:r>
        <w:rPr>
          <w:sz w:val="20"/>
          <w:szCs w:val="20"/>
        </w:rPr>
        <w:t>XII. POLITICA DE REMUNERARE</w:t>
      </w:r>
      <w:bookmarkEnd w:id="24"/>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Pachetul de remunerare al membrilor Consiliului de Administrație cuprinde o componentă fixă și o componentă variabilă, în conformitate cu art. 37 din O.U.G. nr. 109/2011. Componenta variabilă se acordă anual, în funcție de gradul total de realizare a indicatorilor-cheie de performanță, așa cum au fost negociați și aprobați, și se calculează și se plătește pentru un exercițiu financiar încheiat, ulterior aprobării situațiilor financiare și a rapoartelor de activitate.</w:t>
      </w:r>
    </w:p>
    <w:p>
      <w:pPr>
        <w:pStyle w:val="Normal"/>
        <w:spacing w:before="0" w:after="0"/>
        <w:ind w:firstLine="708"/>
        <w:contextualSpacing/>
        <w:jc w:val="both"/>
        <w:rPr>
          <w:sz w:val="20"/>
          <w:szCs w:val="20"/>
        </w:rPr>
      </w:pPr>
      <w:r>
        <w:rPr>
          <w:sz w:val="20"/>
          <w:szCs w:val="20"/>
        </w:rPr>
        <w:t>Ponderea componentei variabile nu va depăși 33,33% din valoarea totală a pachetului de remunerare. Nivelul total al remunerației va respecta plafonul legal stabilit prin O.U.G. nr. 109/2011 și prin legislația anuală privind salarizarea la operatorii economici cu capital de stat.</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25" w:name="_Toc726"/>
      <w:r>
        <w:rPr>
          <w:sz w:val="20"/>
          <w:szCs w:val="20"/>
        </w:rPr>
        <w:t>XIII. PROFILUL DORIT AL MEMBRILOR CONSILIULUI DE ADMINISTRAȚIE</w:t>
      </w:r>
      <w:bookmarkEnd w:id="25"/>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Autoritatea Publică Tutelară (UAT Oraşul Pucioasa), consideră că selecția membrilor Consiliului de Administrație pentru mandatul 2026–2030 trebuie să privilegieze următoarele priorități, în ordinea importanței pentru specificul activității societății:</w:t>
      </w:r>
    </w:p>
    <w:p>
      <w:pPr>
        <w:pStyle w:val="Normal"/>
        <w:spacing w:before="0" w:after="0"/>
        <w:contextualSpacing/>
        <w:jc w:val="both"/>
        <w:rPr>
          <w:sz w:val="20"/>
          <w:szCs w:val="20"/>
        </w:rPr>
      </w:pPr>
      <w:r>
        <w:rPr>
          <w:b/>
          <w:bCs/>
          <w:sz w:val="20"/>
          <w:szCs w:val="20"/>
        </w:rPr>
        <w:t>1. Prioritate maximă – experiență specifică în administrarea întreprinderilor publice (pondere 25% în grila de evaluare a profilului candidatului).</w:t>
      </w:r>
    </w:p>
    <w:p>
      <w:pPr>
        <w:pStyle w:val="Normal"/>
        <w:spacing w:before="0" w:after="0"/>
        <w:ind w:firstLine="708"/>
        <w:contextualSpacing/>
        <w:jc w:val="both"/>
        <w:rPr>
          <w:sz w:val="20"/>
          <w:szCs w:val="20"/>
        </w:rPr>
      </w:pPr>
      <w:r>
        <w:rPr>
          <w:sz w:val="20"/>
          <w:szCs w:val="20"/>
        </w:rPr>
        <w:t>Având în vedere complexitatea activității societății, care operează trei contracte de delegare, deține șase licențe A.N.R.S.C. și un atestat A.N.R.E., gestionează un colectiv de peste 30 de angajați și prestează servicii cu impact direct asupra calității vieții cetățenilor, experiența documentată în funcții de administrator sau director la o întreprindere publică reprezintă cel mai relevant criteriu de selecție. Candidații cu această experiență cunosc cadrul specific de reglementare A.N.R.S.C. și A.N.R.E., specificul contractelor de delegare a gestiunii, relația cu autoritatea publică tutelară, ciclurile bugetare ale serviciilor publice, raportările către A.M.E.P.I.P. și A.N.R.S.C., precum și cerințele O.U.G. nr. 109/2011 în context operațional concret.</w:t>
      </w:r>
    </w:p>
    <w:p>
      <w:pPr>
        <w:pStyle w:val="Normal"/>
        <w:spacing w:before="0" w:after="0"/>
        <w:contextualSpacing/>
        <w:jc w:val="both"/>
        <w:rPr>
          <w:sz w:val="20"/>
          <w:szCs w:val="20"/>
        </w:rPr>
      </w:pPr>
      <w:r>
        <w:rPr>
          <w:b/>
          <w:bCs/>
          <w:sz w:val="20"/>
          <w:szCs w:val="20"/>
        </w:rPr>
        <w:t>2. Prioritate mare – cunoaștere instituțională (pondere 10% în grila de evaluare).</w:t>
      </w:r>
    </w:p>
    <w:p>
      <w:pPr>
        <w:pStyle w:val="Normal"/>
        <w:spacing w:before="0" w:after="0"/>
        <w:ind w:firstLine="708"/>
        <w:contextualSpacing/>
        <w:jc w:val="both"/>
        <w:rPr>
          <w:sz w:val="20"/>
          <w:szCs w:val="20"/>
        </w:rPr>
      </w:pPr>
      <w:r>
        <w:rPr>
          <w:sz w:val="20"/>
          <w:szCs w:val="20"/>
        </w:rPr>
        <w:t>Societatea se află într-o etapă de consolidare financiară și de reluare a programului de investiții, ulterioară normalizării încasărilor de la Autoritatea Publică Tutelară. Autoritatea Publică Tutelară apreciază candidații cu cunoaștere aprofundată a societății, a istoricului său operațional și financiar, a relațiilor cu furnizorii și beneficiarii, precum și a provocărilor specifice privind: (i) reînnoirea contractelor de delegare și a licențelor A.N.R.S.C. care expiră în anul 2027; (ii) finalizarea achizițiilor de utilaje amânate în exercițiile anterioare; (iii) fundamentarea și ajustarea tarifelor la realitatea economică, în condițiile art. 9 alin. (2^8) din O.G. nr. 26/2013.</w:t>
      </w:r>
    </w:p>
    <w:p>
      <w:pPr>
        <w:pStyle w:val="Normal"/>
        <w:spacing w:before="0" w:after="0"/>
        <w:contextualSpacing/>
        <w:jc w:val="both"/>
        <w:rPr>
          <w:sz w:val="20"/>
          <w:szCs w:val="20"/>
        </w:rPr>
      </w:pPr>
      <w:r>
        <w:rPr>
          <w:b/>
          <w:bCs/>
          <w:sz w:val="20"/>
          <w:szCs w:val="20"/>
        </w:rPr>
        <w:t>3. Competențe sectoriale, de guvernanță corporativă și management financiar.</w:t>
      </w:r>
    </w:p>
    <w:p>
      <w:pPr>
        <w:pStyle w:val="Normal"/>
        <w:spacing w:before="0" w:after="0"/>
        <w:ind w:firstLine="708"/>
        <w:contextualSpacing/>
        <w:jc w:val="both"/>
        <w:rPr>
          <w:sz w:val="20"/>
          <w:szCs w:val="20"/>
        </w:rPr>
      </w:pPr>
      <w:r>
        <w:rPr>
          <w:sz w:val="20"/>
          <w:szCs w:val="20"/>
        </w:rPr>
        <w:t>Toți membrii Consiliului de Administrație trebuie să demonstreze cunoașterea legislației serviciilor comunitare de utilități publice (Legea nr. 51/2006, Legea nr. 101/2006, Legea nr. 230/2006), a cadrului de guvernanță corporativă (O.U.G. nr. 109/2011, H.G. nr. 639/2023, Ordinul A.M.E.P.I.P. nr. 651/2024), precum și capacitate de analiză financiară, management strategic și deținerea studiilor sau a certificărilor profesionale relevante.</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26" w:name="_Toc727"/>
      <w:r>
        <w:rPr>
          <w:sz w:val="20"/>
          <w:szCs w:val="20"/>
        </w:rPr>
        <w:t>XIV. DECLARAȚIA DE INTENȚIE – CERINȚE MINIMALE</w:t>
      </w:r>
      <w:bookmarkEnd w:id="26"/>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Candidații înscriși pe Lista Scurtă vor depune, în termen de 15 zile de la informarea privind includerea lor pe Lista Scurtă, o Declarație de intenție care va cuprinde, potrivit art. 22 alin. (2) din Anexa nr. 1 la H.G. nr. 639/2023:</w:t>
      </w:r>
    </w:p>
    <w:p>
      <w:pPr>
        <w:pStyle w:val="ListParagraph"/>
        <w:numPr>
          <w:ilvl w:val="0"/>
          <w:numId w:val="3"/>
        </w:numPr>
        <w:ind w:left="426" w:hanging="0"/>
        <w:jc w:val="both"/>
        <w:rPr>
          <w:sz w:val="20"/>
          <w:szCs w:val="20"/>
        </w:rPr>
      </w:pPr>
      <w:r>
        <w:rPr>
          <w:sz w:val="20"/>
          <w:szCs w:val="20"/>
        </w:rPr>
        <w:t>rezumatul experienței manageriale relevante pentru mandatul la S.C. SERVICII COMUNITARE DE UTILITĂȚI PUBLICE PUCIOASA SCUP S.R.L., cu accent pe experiența în administrarea serviciilor publice și pe rezultatele obținute;</w:t>
      </w:r>
    </w:p>
    <w:p>
      <w:pPr>
        <w:pStyle w:val="ListParagraph"/>
        <w:numPr>
          <w:ilvl w:val="0"/>
          <w:numId w:val="3"/>
        </w:numPr>
        <w:ind w:left="426" w:hanging="0"/>
        <w:jc w:val="both"/>
        <w:rPr>
          <w:sz w:val="20"/>
          <w:szCs w:val="20"/>
        </w:rPr>
      </w:pPr>
      <w:r>
        <w:rPr>
          <w:sz w:val="20"/>
          <w:szCs w:val="20"/>
        </w:rPr>
        <w:t>viziunea candidatului privind funcționarea și dezvoltarea societății în perioada 2026–2030, cu referire explicită la obiectivele stabilite prin Scrisoarea de așteptări;</w:t>
      </w:r>
    </w:p>
    <w:p>
      <w:pPr>
        <w:pStyle w:val="ListParagraph"/>
        <w:numPr>
          <w:ilvl w:val="0"/>
          <w:numId w:val="3"/>
        </w:numPr>
        <w:ind w:left="426" w:hanging="0"/>
        <w:jc w:val="both"/>
        <w:rPr>
          <w:sz w:val="20"/>
          <w:szCs w:val="20"/>
        </w:rPr>
      </w:pPr>
      <w:r>
        <w:rPr>
          <w:sz w:val="20"/>
          <w:szCs w:val="20"/>
        </w:rPr>
        <w:t>obiectivele concrete propuse și indicatorii prin care realizarea acestora poate fi măsurată;</w:t>
      </w:r>
    </w:p>
    <w:p>
      <w:pPr>
        <w:pStyle w:val="ListParagraph"/>
        <w:numPr>
          <w:ilvl w:val="0"/>
          <w:numId w:val="3"/>
        </w:numPr>
        <w:ind w:left="426" w:hanging="0"/>
        <w:jc w:val="both"/>
        <w:rPr>
          <w:sz w:val="20"/>
          <w:szCs w:val="20"/>
        </w:rPr>
      </w:pPr>
      <w:r>
        <w:rPr>
          <w:sz w:val="20"/>
          <w:szCs w:val="20"/>
        </w:rPr>
        <w:t>un plan concret de atingere progresivă a nivelurilor minime ale indicatorilor de performanță stabilite prin Ordinul A.M.E.P.I.P. nr. 651/2024, cu prioritate pentru rentabilitatea activelor, rentabilitatea capitalului propriu, marja netă a profitului, rata de rotație a activelor și rata de rotație a creanțelor, respectiv pentru indicatorii care nu ating nivelul minim în primii ani ai mandatului;</w:t>
      </w:r>
    </w:p>
    <w:p>
      <w:pPr>
        <w:pStyle w:val="ListParagraph"/>
        <w:numPr>
          <w:ilvl w:val="0"/>
          <w:numId w:val="3"/>
        </w:numPr>
        <w:ind w:left="426" w:hanging="0"/>
        <w:jc w:val="both"/>
        <w:rPr>
          <w:sz w:val="20"/>
          <w:szCs w:val="20"/>
        </w:rPr>
      </w:pPr>
      <w:r>
        <w:rPr>
          <w:sz w:val="20"/>
          <w:szCs w:val="20"/>
        </w:rPr>
        <w:t>măsurile propuse pentru pregătirea și depunerea documentației de reînnoire a contractelor de delegare și a licențelor A.N.R.S.C. care expiră în anul 2027;</w:t>
      </w:r>
    </w:p>
    <w:p>
      <w:pPr>
        <w:pStyle w:val="ListParagraph"/>
        <w:numPr>
          <w:ilvl w:val="0"/>
          <w:numId w:val="3"/>
        </w:numPr>
        <w:ind w:left="426" w:hanging="0"/>
        <w:jc w:val="both"/>
        <w:rPr>
          <w:sz w:val="20"/>
          <w:szCs w:val="20"/>
        </w:rPr>
      </w:pPr>
      <w:r>
        <w:rPr>
          <w:sz w:val="20"/>
          <w:szCs w:val="20"/>
        </w:rPr>
        <w:t>măsurile propuse pentru îmbunătățirea calității serviciilor de salubrizare stradală, iluminat public și dezinsecție, dezinfecție, deratizare;</w:t>
      </w:r>
    </w:p>
    <w:p>
      <w:pPr>
        <w:pStyle w:val="ListParagraph"/>
        <w:numPr>
          <w:ilvl w:val="0"/>
          <w:numId w:val="3"/>
        </w:numPr>
        <w:ind w:left="426" w:hanging="0"/>
        <w:jc w:val="both"/>
        <w:rPr>
          <w:sz w:val="20"/>
          <w:szCs w:val="20"/>
        </w:rPr>
      </w:pPr>
      <w:r>
        <w:rPr>
          <w:sz w:val="20"/>
          <w:szCs w:val="20"/>
        </w:rPr>
        <w:t>propuneri privind politica de investiții și modernizarea parcului tehnic, cu identificarea surselor de finanțare;</w:t>
      </w:r>
    </w:p>
    <w:p>
      <w:pPr>
        <w:pStyle w:val="ListParagraph"/>
        <w:numPr>
          <w:ilvl w:val="0"/>
          <w:numId w:val="3"/>
        </w:numPr>
        <w:ind w:left="426" w:hanging="0"/>
        <w:jc w:val="both"/>
        <w:rPr>
          <w:sz w:val="20"/>
          <w:szCs w:val="20"/>
        </w:rPr>
      </w:pPr>
      <w:r>
        <w:rPr>
          <w:sz w:val="20"/>
          <w:szCs w:val="20"/>
        </w:rPr>
        <w:t>propuneri privind eficiența financiară și optimizarea costurilor de operare;</w:t>
      </w:r>
    </w:p>
    <w:p>
      <w:pPr>
        <w:pStyle w:val="ListParagraph"/>
        <w:numPr>
          <w:ilvl w:val="0"/>
          <w:numId w:val="3"/>
        </w:numPr>
        <w:ind w:left="426" w:hanging="0"/>
        <w:jc w:val="both"/>
        <w:rPr>
          <w:sz w:val="20"/>
          <w:szCs w:val="20"/>
        </w:rPr>
      </w:pPr>
      <w:r>
        <w:rPr>
          <w:sz w:val="20"/>
          <w:szCs w:val="20"/>
        </w:rPr>
        <w:t>aderarea și alinierea la Scrisoarea de așteptări aprobată de autoritatea publică tutelară;</w:t>
      </w:r>
    </w:p>
    <w:p>
      <w:pPr>
        <w:pStyle w:val="ListParagraph"/>
        <w:numPr>
          <w:ilvl w:val="0"/>
          <w:numId w:val="3"/>
        </w:numPr>
        <w:ind w:left="426" w:hanging="0"/>
        <w:jc w:val="both"/>
        <w:rPr>
          <w:sz w:val="20"/>
          <w:szCs w:val="20"/>
        </w:rPr>
      </w:pPr>
      <w:r>
        <w:rPr>
          <w:sz w:val="20"/>
          <w:szCs w:val="20"/>
        </w:rPr>
        <w:t>constrângerile, riscurile și limitările pe care candidatul consideră că le-ar putea întâmpina în implementarea măsurilor propuse.</w:t>
      </w:r>
    </w:p>
    <w:p>
      <w:pPr>
        <w:pStyle w:val="Heading1"/>
        <w:spacing w:beforeAutospacing="0" w:before="0" w:afterAutospacing="0" w:after="0"/>
        <w:contextualSpacing/>
        <w:jc w:val="both"/>
        <w:rPr>
          <w:sz w:val="20"/>
          <w:szCs w:val="20"/>
        </w:rPr>
      </w:pPr>
      <w:r>
        <w:rPr>
          <w:sz w:val="20"/>
          <w:szCs w:val="20"/>
        </w:rPr>
      </w:r>
    </w:p>
    <w:p>
      <w:pPr>
        <w:pStyle w:val="Heading1"/>
        <w:spacing w:beforeAutospacing="0" w:before="0" w:afterAutospacing="0" w:after="0"/>
        <w:contextualSpacing/>
        <w:jc w:val="both"/>
        <w:rPr>
          <w:sz w:val="20"/>
          <w:szCs w:val="20"/>
        </w:rPr>
      </w:pPr>
      <w:bookmarkStart w:id="27" w:name="_Toc728"/>
      <w:r>
        <w:rPr>
          <w:sz w:val="20"/>
          <w:szCs w:val="20"/>
        </w:rPr>
        <w:t>XV. DISPOZIȚII FINALE</w:t>
      </w:r>
      <w:bookmarkEnd w:id="27"/>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Prezenta Scrisoare de Așteptări a fost aprobată prin hotărâre a Consiliului Local al Orașului Pucioasa și se publică, odată cu componenta inițială a Planului de selecție, pe pagina de internet a Primăriei Orașului Pucioasa, pe pagina de internet a S.C. SERVICII COMUNITARE DE UTILITĂȚI PUBLICE PUCIOASA SCUP S.R.L. și pe pagina de internet a A.M.E.P.I.P.</w:t>
      </w:r>
    </w:p>
    <w:p>
      <w:pPr>
        <w:pStyle w:val="Normal"/>
        <w:spacing w:before="0" w:after="0"/>
        <w:contextualSpacing/>
        <w:jc w:val="both"/>
        <w:rPr>
          <w:sz w:val="20"/>
          <w:szCs w:val="20"/>
        </w:rPr>
      </w:pPr>
      <w:r>
        <w:rPr>
          <w:sz w:val="20"/>
          <w:szCs w:val="20"/>
        </w:rPr>
      </w:r>
    </w:p>
    <w:p>
      <w:pPr>
        <w:pStyle w:val="Normal"/>
        <w:spacing w:before="0" w:after="0"/>
        <w:ind w:firstLine="708"/>
        <w:contextualSpacing/>
        <w:jc w:val="both"/>
        <w:rPr>
          <w:sz w:val="20"/>
          <w:szCs w:val="20"/>
        </w:rPr>
      </w:pPr>
      <w:r>
        <w:rPr>
          <w:sz w:val="20"/>
          <w:szCs w:val="20"/>
        </w:rPr>
        <w:t>Candidații la funcția de membru în Consiliul de Administrație sunt invitați să își elaboreze Declarația de intenție ținând cont de obiectivele, constrângerile și indicatorii de performanță stabiliți prin prezentul document.</w:t>
      </w:r>
    </w:p>
    <w:p>
      <w:pPr>
        <w:pStyle w:val="Normal"/>
        <w:spacing w:before="0" w:after="0"/>
        <w:contextualSpacing/>
        <w:jc w:val="both"/>
        <w:rPr>
          <w:i/>
          <w:i/>
          <w:iCs/>
          <w:sz w:val="20"/>
          <w:szCs w:val="20"/>
        </w:rPr>
      </w:pPr>
      <w:r>
        <w:rPr>
          <w:i/>
          <w:iCs/>
          <w:sz w:val="20"/>
          <w:szCs w:val="20"/>
        </w:rPr>
      </w:r>
    </w:p>
    <w:p>
      <w:pPr>
        <w:pStyle w:val="Normal"/>
        <w:spacing w:before="0" w:after="0"/>
        <w:contextualSpacing/>
        <w:jc w:val="both"/>
        <w:rPr>
          <w:i/>
          <w:i/>
          <w:iCs/>
          <w:sz w:val="20"/>
          <w:szCs w:val="20"/>
        </w:rPr>
      </w:pPr>
      <w:r>
        <w:rPr>
          <w:i/>
          <w:iCs/>
          <w:sz w:val="20"/>
          <w:szCs w:val="20"/>
        </w:rPr>
      </w:r>
    </w:p>
    <w:p>
      <w:pPr>
        <w:pStyle w:val="Normal"/>
        <w:spacing w:before="0" w:after="0"/>
        <w:contextualSpacing/>
        <w:jc w:val="both"/>
        <w:rPr>
          <w:i/>
          <w:i/>
          <w:iCs/>
          <w:sz w:val="20"/>
          <w:szCs w:val="20"/>
        </w:rPr>
      </w:pPr>
      <w:r>
        <w:rPr>
          <w:i/>
          <w:iCs/>
          <w:sz w:val="20"/>
          <w:szCs w:val="20"/>
        </w:rPr>
      </w:r>
    </w:p>
    <w:p>
      <w:pPr>
        <w:pStyle w:val="Normal"/>
        <w:spacing w:before="0" w:after="0"/>
        <w:contextualSpacing/>
        <w:jc w:val="both"/>
        <w:rPr>
          <w:i/>
          <w:i/>
          <w:iCs/>
          <w:sz w:val="20"/>
          <w:szCs w:val="20"/>
        </w:rPr>
      </w:pPr>
      <w:r>
        <w:rPr>
          <w:i/>
          <w:iCs/>
          <w:sz w:val="20"/>
          <w:szCs w:val="20"/>
        </w:rPr>
      </w:r>
    </w:p>
    <w:p>
      <w:pPr>
        <w:pStyle w:val="Normal"/>
        <w:spacing w:before="0" w:after="0"/>
        <w:contextualSpacing/>
        <w:jc w:val="both"/>
        <w:rPr>
          <w:i/>
          <w:i/>
          <w:iCs/>
          <w:sz w:val="20"/>
          <w:szCs w:val="20"/>
        </w:rPr>
      </w:pPr>
      <w:r>
        <w:rPr>
          <w:i/>
          <w:iCs/>
          <w:sz w:val="20"/>
          <w:szCs w:val="20"/>
        </w:rPr>
      </w:r>
    </w:p>
    <w:p>
      <w:pPr>
        <w:pStyle w:val="Normal"/>
        <w:spacing w:before="0" w:after="0"/>
        <w:contextualSpacing/>
        <w:jc w:val="both"/>
        <w:rPr>
          <w:i/>
          <w:i/>
          <w:iCs/>
          <w:sz w:val="20"/>
          <w:szCs w:val="20"/>
        </w:rPr>
      </w:pPr>
      <w:r>
        <w:rPr>
          <w:i/>
          <w:iCs/>
          <w:sz w:val="20"/>
          <w:szCs w:val="20"/>
        </w:rPr>
      </w:r>
    </w:p>
    <w:p>
      <w:pPr>
        <w:pStyle w:val="Normal"/>
        <w:spacing w:before="0" w:after="0"/>
        <w:ind w:firstLine="708"/>
        <w:contextualSpacing/>
        <w:jc w:val="both"/>
        <w:rPr>
          <w:sz w:val="20"/>
          <w:szCs w:val="20"/>
        </w:rPr>
      </w:pPr>
      <w:r>
        <w:rPr>
          <w:i/>
          <w:iCs/>
          <w:sz w:val="20"/>
          <w:szCs w:val="20"/>
        </w:rPr>
        <w:t>Prezenta versiune revizuită înlocuiește varianta aprobată la data de 20.03.2026 și a fost întocmită pentru a da curs solicitărilor formulate de A.M.E.P.I.P. prin Adresa nr. 5513/24.03.2026.</w:t>
      </w:r>
    </w:p>
    <w:p>
      <w:pPr>
        <w:pStyle w:val="Normal"/>
        <w:spacing w:before="0" w:after="0"/>
        <w:contextualSpacing/>
        <w:jc w:val="both"/>
        <w:rPr>
          <w:sz w:val="20"/>
          <w:szCs w:val="20"/>
        </w:rPr>
      </w:pPr>
      <w:r>
        <w:rPr/>
      </w:r>
    </w:p>
    <w:sectPr>
      <w:footerReference w:type="even" r:id="rId9"/>
      <w:footerReference w:type="default" r:id="rId10"/>
      <w:footerReference w:type="first" r:id="rId11"/>
      <w:type w:val="nextPage"/>
      <w:pgSz w:w="11906" w:h="16838"/>
      <w:pgMar w:left="1418" w:right="567" w:gutter="0" w:header="0" w:top="567" w:footer="113"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Calibri">
    <w:charset w:val="00"/>
    <w:family w:val="roman"/>
    <w:pitch w:val="variable"/>
  </w:font>
  <w:font w:name="font-weight : 400">
    <w:charset w:val="00"/>
    <w:family w:val="roman"/>
    <w:pitch w:val="variable"/>
  </w:font>
  <w:font w:name="Arial">
    <w:charset w:val="00"/>
    <w:family w:val="roman"/>
    <w:pitch w:val="variable"/>
  </w:font>
  <w:font w:name="Arial Narrow">
    <w:charset w:val="00"/>
    <w:family w:val="roman"/>
    <w:pitch w:val="variable"/>
  </w:font>
  <w:font w:name="Liberation Sans">
    <w:altName w:val="Arial"/>
    <w:charset w:val="00"/>
    <w:family w:val="swiss"/>
    <w:pitch w:val="variable"/>
  </w:font>
  <w:font w:name="Tahoma">
    <w:charset w:val="00"/>
    <w:family w:val="roman"/>
    <w:pitch w:val="variable"/>
  </w:font>
  <w:font w:name="Arial Unicode MS">
    <w:charset w:val="00"/>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48081590"/>
    </w:sdtPr>
    <w:sdtContent>
      <w:p>
        <w:pPr>
          <w:pStyle w:val="Footer"/>
          <w:jc w:val="center"/>
          <w:rPr/>
        </w:pPr>
        <w:r>
          <w:rPr/>
          <w:fldChar w:fldCharType="begin"/>
        </w:r>
        <w:r>
          <w:rPr/>
          <w:instrText xml:space="preserve"> PAGE </w:instrText>
        </w:r>
        <w:r>
          <w:rPr/>
          <w:fldChar w:fldCharType="separate"/>
        </w:r>
        <w:r>
          <w:rPr/>
          <w:t>1</w:t>
        </w:r>
        <w:r>
          <w:rPr/>
          <w:fldChar w:fldCharType="end"/>
        </w:r>
      </w:p>
      <w:p>
        <w:pPr>
          <w:pStyle w:val="Footer"/>
          <w:rPr/>
        </w:pPr>
        <w:r>
          <w:rPr/>
        </w:r>
      </w:p>
    </w:sdtContent>
  </w:sdt>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54524868"/>
    </w:sdtPr>
    <w:sdtContent>
      <w:p>
        <w:pPr>
          <w:pStyle w:val="Footer"/>
          <w:jc w:val="center"/>
          <w:rPr/>
        </w:pPr>
        <w:r>
          <w:rPr/>
          <w:fldChar w:fldCharType="begin"/>
        </w:r>
        <w:r>
          <w:rPr/>
          <w:instrText xml:space="preserve"> PAGE </w:instrText>
        </w:r>
        <w:r>
          <w:rPr/>
          <w:fldChar w:fldCharType="separate"/>
        </w:r>
        <w:r>
          <w:rPr/>
          <w:t>8</w:t>
        </w:r>
        <w:r>
          <w:rPr/>
          <w:fldChar w:fldCharType="end"/>
        </w:r>
      </w:p>
      <w:p>
        <w:pPr>
          <w:pStyle w:val="Footer"/>
          <w:rPr/>
        </w:pPr>
        <w:r>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r>
      <mc:AlternateContent>
        <mc:Choice Requires="wps">
          <w:drawing>
            <wp:anchor behindDoc="0" distT="0" distB="0" distL="0" distR="0" simplePos="0" locked="0" layoutInCell="1" allowOverlap="1" relativeHeight="0">
              <wp:simplePos x="0" y="0"/>
              <wp:positionH relativeFrom="margin">
                <wp:align>center</wp:align>
              </wp:positionH>
              <wp:positionV relativeFrom="paragraph">
                <wp:posOffset>635</wp:posOffset>
              </wp:positionV>
              <wp:extent cx="14605" cy="14605"/>
              <wp:effectExtent l="0" t="0" r="0" b="0"/>
              <wp:wrapSquare wrapText="bothSides"/>
              <wp:docPr id="3" name="Frame1"/>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fldChar w:fldCharType="begin"/>
                          </w:r>
                          <w:r>
                            <w:rPr/>
                            <w:instrText xml:space="preserve"> PAGE </w:instrText>
                          </w:r>
                          <w:r>
                            <w:rPr/>
                            <w:fldChar w:fldCharType="separate"/>
                          </w:r>
                          <w:r>
                            <w:rPr/>
                            <w:t>0</w:t>
                          </w:r>
                          <w: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center;mso-position-horizontal-relative:margin">
              <v:fill opacity="0f"/>
              <v:textbox inset="0in,0in,0in,0in">
                <w:txbxContent>
                  <w:p>
                    <w:pPr>
                      <w:pStyle w:val="Footer"/>
                      <w:pBdr/>
                      <w:rPr>
                        <w:rStyle w:val="Pagenumber"/>
                      </w:rPr>
                    </w:pPr>
                    <w:r>
                      <w:rPr/>
                      <w:fldChar w:fldCharType="begin"/>
                    </w:r>
                    <w:r>
                      <w:rPr/>
                      <w:instrText xml:space="preserve"> PAGE </w:instrText>
                    </w:r>
                    <w:r>
                      <w:rPr/>
                      <w:fldChar w:fldCharType="separate"/>
                    </w:r>
                    <w:r>
                      <w:rPr/>
                      <w:t>0</w:t>
                    </w:r>
                    <w:r>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39795277"/>
    </w:sdtPr>
    <w:sdtContent>
      <w:p>
        <w:pPr>
          <w:pStyle w:val="Footer"/>
          <w:jc w:val="center"/>
          <w:rPr/>
        </w:pPr>
        <w:r>
          <w:rPr/>
          <w:fldChar w:fldCharType="begin"/>
        </w:r>
        <w:r>
          <w:rPr/>
          <w:instrText xml:space="preserve"> PAGE </w:instrText>
        </w:r>
        <w:r>
          <w:rPr/>
          <w:fldChar w:fldCharType="separate"/>
        </w:r>
        <w:r>
          <w:rPr/>
          <w:t>16</w:t>
        </w:r>
        <w:r>
          <w:rPr/>
          <w:fldChar w:fldCharType="end"/>
        </w:r>
      </w:p>
    </w:sdtContent>
  </w:sdt>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474582710"/>
    </w:sdtPr>
    <w:sdtContent>
      <w:p>
        <w:pPr>
          <w:pStyle w:val="Footer"/>
          <w:jc w:val="center"/>
          <w:rPr/>
        </w:pPr>
        <w:r>
          <w:rPr/>
          <w:fldChar w:fldCharType="begin"/>
        </w:r>
        <w:r>
          <w:rPr/>
          <w:instrText xml:space="preserve"> PAGE </w:instrText>
        </w:r>
        <w:r>
          <w:rPr/>
          <w:fldChar w:fldCharType="separate"/>
        </w:r>
        <w:r>
          <w:rPr/>
          <w:t>16</w:t>
        </w:r>
        <w:r>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5"/>
      <w:numFmt w:val="upperLetter"/>
      <w:suff w:val="nothing"/>
      <w:lvlText w:val="%1-"/>
      <w:lvlJc w:val="left"/>
      <w:pPr>
        <w:tabs>
          <w:tab w:val="num" w:pos="0"/>
        </w:tabs>
        <w:ind w:left="0" w:hanging="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0"/>
        </w:tabs>
        <w:ind w:left="460" w:hanging="24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3"/>
    <w:lvlOverride w:ilvl="0">
      <w:startOverride w:val="1"/>
    </w:lvlOverride>
  </w:num>
</w:numbering>
</file>

<file path=word/settings.xml><?xml version="1.0" encoding="utf-8"?>
<w:settings xmlns:w="http://schemas.openxmlformats.org/wordprocessingml/2006/main">
  <w:zoom w:percent="100"/>
  <w:defaultTabStop w:val="708"/>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en-GB" w:eastAsia="en-GB" w:bidi="ar-SA"/>
      </w:rPr>
    </w:rPrDefault>
    <w:pPrDefault>
      <w:pPr>
        <w:suppressAutoHyphens w:val="true"/>
      </w:pPr>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qFormat="1"/>
    <w:lsdException w:name="footer" w:uiPriority="99" w:qFormat="1"/>
    <w:lsdException w:name="caption" w:semiHidden="1" w:unhideWhenUsed="1" w:qFormat="1"/>
    <w:lsdException w:name="footnote reference" w:uiPriority="99"/>
    <w:lsdException w:name="page number" w:qFormat="1"/>
    <w:lsdException w:name="endnote reference" w:uiPriority="99"/>
    <w:lsdException w:name="endnote text" w:uiPriority="99"/>
    <w:lsdException w:name="List Bullet" w:uiPriority="99"/>
    <w:lsdException w:name="Title" w:uiPriority="10" w:qFormat="1"/>
    <w:lsdException w:name="Default Paragraph Font" w:semiHidden="1"/>
    <w:lsdException w:name="Body Text" w:qFormat="1"/>
    <w:lsdException w:name="Subtitle" w:qFormat="1"/>
    <w:lsdException w:name="Hyperlink" w:uiPriority="99" w:qFormat="1"/>
    <w:lsdException w:name="FollowedHyperlink" w:qFormat="1"/>
    <w:lsdException w:name="Strong" w:qFormat="1"/>
    <w:lsdException w:name="Emphasis" w:qFormat="1"/>
    <w:lsdException w:name="HTML Top of Form" w:uiPriority="99" w:semiHidden="1" w:unhideWhenUsed="1"/>
    <w:lsdException w:name="HTML Bottom of Form" w:uiPriority="99" w:semiHidden="1" w:unhideWhenUsed="1"/>
    <w:lsdException w:name="Normal (Web)" w:qFormat="1"/>
    <w:lsdException w:name="Normal Table" w:semiHidden="1" w:unhideWhenUsed="1" w:qFormat="1"/>
    <w:lsdException w:name="No List" w:uiPriority="99" w:semiHidden="1" w:unhideWhenUsed="1"/>
    <w:lsdException w:name="Outline List 1" w:uiPriority="99" w:semiHidden="1" w:unhideWhenUsed="1"/>
    <w:lsdException w:name="Outline List 2" w:uiPriority="99" w:semiHidden="1" w:unhideWhenUsed="1"/>
    <w:lsdException w:name="Outline List 3" w:uiPriority="99"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Theme" w:semiHidden="1" w:unhideWhenUsed="1"/>
    <w:lsdException w:name="Placeholder Text" w:uiPriority="99" w:semiHidden="1" w:unhideWhenUsed="1"/>
    <w:lsdException w:name="No Spacing" w:uiPriority="99"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unhideWhenUsed="1"/>
    <w:lsdException w:name="List Paragraph" w:semiHidden="1" w:unhideWhenUsed="1" w:qFormat="1"/>
    <w:lsdException w:name="Quote" w:uiPriority="99" w:semiHidden="1" w:unhideWhenUsed="1"/>
    <w:lsdException w:name="Intense Quote" w:uiPriority="99"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bidi w:val="0"/>
      <w:spacing w:before="0" w:after="0"/>
      <w:jc w:val="left"/>
    </w:pPr>
    <w:rPr>
      <w:rFonts w:ascii="Times New Roman" w:hAnsi="Times New Roman" w:eastAsia="SimSun" w:cs="Times New Roman"/>
      <w:color w:val="auto"/>
      <w:kern w:val="0"/>
      <w:sz w:val="24"/>
      <w:szCs w:val="24"/>
      <w:lang w:val="ro-RO" w:eastAsia="ro-RO" w:bidi="ar-SA"/>
    </w:rPr>
  </w:style>
  <w:style w:type="paragraph" w:styleId="Heading1">
    <w:name w:val="Heading 1"/>
    <w:basedOn w:val="Normal"/>
    <w:next w:val="Normal"/>
    <w:uiPriority w:val="9"/>
    <w:qFormat/>
    <w:pPr>
      <w:spacing w:beforeAutospacing="1" w:afterAutospacing="1"/>
      <w:outlineLvl w:val="0"/>
    </w:pPr>
    <w:rPr>
      <w:b/>
      <w:bCs/>
      <w:kern w:val="2"/>
      <w:sz w:val="48"/>
      <w:szCs w:val="48"/>
    </w:rPr>
  </w:style>
  <w:style w:type="paragraph" w:styleId="Heading2">
    <w:name w:val="Heading 2"/>
    <w:basedOn w:val="Normal"/>
    <w:next w:val="Normal"/>
    <w:link w:val="Titlu2Caracter"/>
    <w:uiPriority w:val="9"/>
    <w:unhideWhenUsed/>
    <w:qFormat/>
    <w:rsid w:val="00c75afd"/>
    <w:pPr>
      <w:keepNext w:val="true"/>
      <w:keepLines/>
      <w:spacing w:before="40" w:after="0"/>
      <w:outlineLvl w:val="1"/>
    </w:pPr>
    <w:rPr>
      <w:rFonts w:ascii="Cambria" w:hAnsi="Cambria" w:eastAsia="宋体" w:cs="" w:asciiTheme="majorHAnsi" w:cstheme="majorBidi" w:eastAsiaTheme="majorEastAsia" w:hAnsiTheme="majorHAnsi"/>
      <w:color w:val="365F91" w:themeColor="accent1" w:themeShade="bf"/>
      <w:sz w:val="26"/>
      <w:szCs w:val="26"/>
    </w:rPr>
  </w:style>
  <w:style w:type="paragraph" w:styleId="Heading3">
    <w:name w:val="Heading 3"/>
    <w:basedOn w:val="Normal"/>
    <w:next w:val="Normal"/>
    <w:link w:val="Titlu3Caracter"/>
    <w:uiPriority w:val="9"/>
    <w:semiHidden/>
    <w:unhideWhenUsed/>
    <w:qFormat/>
    <w:rsid w:val="006159fe"/>
    <w:pPr>
      <w:keepNext w:val="true"/>
      <w:keepLines/>
      <w:spacing w:before="40" w:after="0"/>
      <w:outlineLvl w:val="2"/>
    </w:pPr>
    <w:rPr>
      <w:rFonts w:ascii="Cambria" w:hAnsi="Cambria" w:eastAsia="宋体" w:cs="" w:asciiTheme="majorHAnsi" w:cstheme="majorBidi" w:eastAsiaTheme="majorEastAsia" w:hAnsiTheme="majorHAnsi"/>
      <w:color w:val="243F60" w:themeColor="accent1" w:themeShade="7f"/>
    </w:rPr>
  </w:style>
  <w:style w:type="paragraph" w:styleId="Heading4">
    <w:name w:val="Heading 4"/>
    <w:link w:val="Titlu4Caracter"/>
    <w:uiPriority w:val="9"/>
    <w:semiHidden/>
    <w:unhideWhenUsed/>
    <w:qFormat/>
    <w:rsid w:val="00c75afd"/>
    <w:pPr>
      <w:widowControl/>
      <w:bidi w:val="0"/>
      <w:spacing w:before="0" w:after="0"/>
      <w:jc w:val="left"/>
      <w:outlineLvl w:val="3"/>
    </w:pPr>
    <w:rPr>
      <w:rFonts w:eastAsia="Times New Roman" w:ascii="Times New Roman" w:hAnsi="Times New Roman" w:cs="Times New Roman"/>
      <w:i/>
      <w:iCs/>
      <w:color w:val="2E74B5"/>
      <w:kern w:val="0"/>
      <w:sz w:val="22"/>
      <w:szCs w:val="22"/>
      <w:lang w:val="ro-RO" w:eastAsia="ro-RO" w:bidi="ar-SA"/>
    </w:rPr>
  </w:style>
  <w:style w:type="paragraph" w:styleId="Heading5">
    <w:name w:val="Heading 5"/>
    <w:link w:val="Titlu5Caracter"/>
    <w:uiPriority w:val="9"/>
    <w:semiHidden/>
    <w:unhideWhenUsed/>
    <w:qFormat/>
    <w:rsid w:val="00c75afd"/>
    <w:pPr>
      <w:widowControl/>
      <w:bidi w:val="0"/>
      <w:spacing w:before="0" w:after="0"/>
      <w:jc w:val="left"/>
      <w:outlineLvl w:val="4"/>
    </w:pPr>
    <w:rPr>
      <w:rFonts w:eastAsia="Times New Roman" w:ascii="Times New Roman" w:hAnsi="Times New Roman" w:cs="Times New Roman"/>
      <w:color w:val="2E74B5"/>
      <w:kern w:val="0"/>
      <w:sz w:val="22"/>
      <w:szCs w:val="22"/>
      <w:lang w:val="ro-RO" w:eastAsia="ro-RO" w:bidi="ar-SA"/>
    </w:rPr>
  </w:style>
  <w:style w:type="paragraph" w:styleId="Heading6">
    <w:name w:val="Heading 6"/>
    <w:link w:val="Titlu6Caracter"/>
    <w:uiPriority w:val="9"/>
    <w:semiHidden/>
    <w:unhideWhenUsed/>
    <w:qFormat/>
    <w:rsid w:val="00c75afd"/>
    <w:pPr>
      <w:widowControl/>
      <w:bidi w:val="0"/>
      <w:spacing w:before="0" w:after="0"/>
      <w:jc w:val="left"/>
      <w:outlineLvl w:val="5"/>
    </w:pPr>
    <w:rPr>
      <w:rFonts w:eastAsia="Times New Roman" w:ascii="Times New Roman" w:hAnsi="Times New Roman" w:cs="Times New Roman"/>
      <w:color w:val="1F4D78"/>
      <w:kern w:val="0"/>
      <w:sz w:val="22"/>
      <w:szCs w:val="22"/>
      <w:lang w:val="ro-RO" w:eastAsia="ro-RO" w:bidi="ar-SA"/>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qFormat/>
    <w:rPr>
      <w:color w:val="800080"/>
      <w:u w:val="single"/>
    </w:rPr>
  </w:style>
  <w:style w:type="character" w:styleId="InternetLink">
    <w:name w:val="Hyperlink"/>
    <w:basedOn w:val="DefaultParagraphFont"/>
    <w:uiPriority w:val="99"/>
    <w:qFormat/>
    <w:rPr>
      <w:color w:val="0000FF"/>
      <w:u w:val="single"/>
    </w:rPr>
  </w:style>
  <w:style w:type="character" w:styleId="Pagenumber">
    <w:name w:val="page number"/>
    <w:basedOn w:val="DefaultParagraphFont"/>
    <w:qFormat/>
    <w:rPr/>
  </w:style>
  <w:style w:type="character" w:styleId="Apple-converted-space" w:customStyle="1">
    <w:name w:val="apple-converted-space"/>
    <w:basedOn w:val="DefaultParagraphFont"/>
    <w:qFormat/>
    <w:rPr/>
  </w:style>
  <w:style w:type="character" w:styleId="Font11" w:customStyle="1">
    <w:name w:val="font11"/>
    <w:qFormat/>
    <w:rPr>
      <w:rFonts w:ascii="Calibri" w:hAnsi="Calibri" w:cs="Calibri"/>
      <w:color w:val="000000"/>
      <w:sz w:val="22"/>
      <w:szCs w:val="22"/>
      <w:u w:val="none"/>
    </w:rPr>
  </w:style>
  <w:style w:type="character" w:styleId="Font01" w:customStyle="1">
    <w:name w:val="font01"/>
    <w:qFormat/>
    <w:rPr>
      <w:rFonts w:ascii="font-weight : 400" w:hAnsi="font-weight : 400" w:eastAsia="font-weight : 400" w:cs="font-weight : 400"/>
      <w:color w:val="000000"/>
      <w:sz w:val="22"/>
      <w:szCs w:val="22"/>
      <w:u w:val="none"/>
    </w:rPr>
  </w:style>
  <w:style w:type="character" w:styleId="15" w:customStyle="1">
    <w:name w:val="15"/>
    <w:basedOn w:val="DefaultParagraphFont"/>
    <w:qFormat/>
    <w:rPr>
      <w:rFonts w:ascii="Times New Roman" w:hAnsi="Times New Roman" w:cs="Times New Roman"/>
      <w:b/>
      <w:bCs/>
    </w:rPr>
  </w:style>
  <w:style w:type="character" w:styleId="Bodytext5" w:customStyle="1">
    <w:name w:val="Body text (5)_"/>
    <w:basedOn w:val="DefaultParagraphFont"/>
    <w:link w:val="Bodytext51"/>
    <w:uiPriority w:val="99"/>
    <w:unhideWhenUsed/>
    <w:qFormat/>
    <w:rPr>
      <w:b/>
      <w:sz w:val="22"/>
      <w:lang w:val="ro-RO" w:eastAsia="ro-RO"/>
    </w:rPr>
  </w:style>
  <w:style w:type="character" w:styleId="Titlu3Caracter" w:customStyle="1">
    <w:name w:val="Titlu 3 Caracter"/>
    <w:basedOn w:val="DefaultParagraphFont"/>
    <w:link w:val="Heading3"/>
    <w:semiHidden/>
    <w:qFormat/>
    <w:rsid w:val="006159fe"/>
    <w:rPr>
      <w:rFonts w:ascii="Cambria" w:hAnsi="Cambria" w:eastAsia="宋体" w:cs="" w:asciiTheme="majorHAnsi" w:cstheme="majorBidi" w:eastAsiaTheme="majorEastAsia" w:hAnsiTheme="majorHAnsi"/>
      <w:color w:val="243F60" w:themeColor="accent1" w:themeShade="7f"/>
      <w:sz w:val="24"/>
      <w:szCs w:val="24"/>
      <w:lang w:val="ro-RO" w:eastAsia="ro-RO"/>
    </w:rPr>
  </w:style>
  <w:style w:type="character" w:styleId="UnresolvedMention">
    <w:name w:val="Unresolved Mention"/>
    <w:basedOn w:val="DefaultParagraphFont"/>
    <w:uiPriority w:val="99"/>
    <w:semiHidden/>
    <w:unhideWhenUsed/>
    <w:qFormat/>
    <w:rsid w:val="006159fe"/>
    <w:rPr>
      <w:color w:val="605E5C"/>
      <w:shd w:fill="E1DFDD" w:val="clear"/>
    </w:rPr>
  </w:style>
  <w:style w:type="character" w:styleId="SubsolCaracter" w:customStyle="1">
    <w:name w:val="Subsol Caracter"/>
    <w:basedOn w:val="DefaultParagraphFont"/>
    <w:link w:val="Footer"/>
    <w:uiPriority w:val="99"/>
    <w:qFormat/>
    <w:rsid w:val="00967f38"/>
    <w:rPr>
      <w:sz w:val="24"/>
      <w:szCs w:val="24"/>
      <w:lang w:val="ro-RO" w:eastAsia="ro-RO"/>
    </w:rPr>
  </w:style>
  <w:style w:type="character" w:styleId="FontStyle18" w:customStyle="1">
    <w:name w:val="Font Style18"/>
    <w:basedOn w:val="DefaultParagraphFont"/>
    <w:uiPriority w:val="99"/>
    <w:qFormat/>
    <w:rsid w:val="009608e2"/>
    <w:rPr>
      <w:rFonts w:ascii="Arial" w:hAnsi="Arial" w:cs="Arial"/>
      <w:b/>
      <w:bCs/>
      <w:sz w:val="22"/>
      <w:szCs w:val="22"/>
    </w:rPr>
  </w:style>
  <w:style w:type="character" w:styleId="FontStyle28" w:customStyle="1">
    <w:name w:val="Font Style28"/>
    <w:basedOn w:val="DefaultParagraphFont"/>
    <w:uiPriority w:val="99"/>
    <w:qFormat/>
    <w:rsid w:val="009608e2"/>
    <w:rPr>
      <w:rFonts w:ascii="Arial Narrow" w:hAnsi="Arial Narrow" w:cs="Arial Narrow"/>
      <w:b/>
      <w:bCs/>
      <w:sz w:val="20"/>
      <w:szCs w:val="20"/>
    </w:rPr>
  </w:style>
  <w:style w:type="character" w:styleId="Titlu2Caracter" w:customStyle="1">
    <w:name w:val="Titlu 2 Caracter"/>
    <w:basedOn w:val="DefaultParagraphFont"/>
    <w:link w:val="Heading2"/>
    <w:semiHidden/>
    <w:qFormat/>
    <w:rsid w:val="00c75afd"/>
    <w:rPr>
      <w:rFonts w:ascii="Cambria" w:hAnsi="Cambria" w:eastAsia="宋体" w:cs="" w:asciiTheme="majorHAnsi" w:cstheme="majorBidi" w:eastAsiaTheme="majorEastAsia" w:hAnsiTheme="majorHAnsi"/>
      <w:color w:val="365F91" w:themeColor="accent1" w:themeShade="bf"/>
      <w:sz w:val="26"/>
      <w:szCs w:val="26"/>
      <w:lang w:val="ro-RO" w:eastAsia="ro-RO"/>
    </w:rPr>
  </w:style>
  <w:style w:type="character" w:styleId="Titlu4Caracter" w:customStyle="1">
    <w:name w:val="Titlu 4 Caracter"/>
    <w:basedOn w:val="DefaultParagraphFont"/>
    <w:link w:val="Heading4"/>
    <w:uiPriority w:val="9"/>
    <w:semiHidden/>
    <w:qFormat/>
    <w:rsid w:val="00c75afd"/>
    <w:rPr>
      <w:rFonts w:eastAsia="Times New Roman"/>
      <w:i/>
      <w:iCs/>
      <w:color w:val="2E74B5"/>
      <w:sz w:val="22"/>
      <w:szCs w:val="22"/>
      <w:lang w:val="ro-RO" w:eastAsia="ro-RO"/>
    </w:rPr>
  </w:style>
  <w:style w:type="character" w:styleId="Titlu5Caracter" w:customStyle="1">
    <w:name w:val="Titlu 5 Caracter"/>
    <w:basedOn w:val="DefaultParagraphFont"/>
    <w:link w:val="Heading5"/>
    <w:uiPriority w:val="9"/>
    <w:semiHidden/>
    <w:qFormat/>
    <w:rsid w:val="00c75afd"/>
    <w:rPr>
      <w:rFonts w:eastAsia="Times New Roman"/>
      <w:color w:val="2E74B5"/>
      <w:sz w:val="22"/>
      <w:szCs w:val="22"/>
      <w:lang w:val="ro-RO" w:eastAsia="ro-RO"/>
    </w:rPr>
  </w:style>
  <w:style w:type="character" w:styleId="Titlu6Caracter" w:customStyle="1">
    <w:name w:val="Titlu 6 Caracter"/>
    <w:basedOn w:val="DefaultParagraphFont"/>
    <w:link w:val="Heading6"/>
    <w:uiPriority w:val="9"/>
    <w:semiHidden/>
    <w:qFormat/>
    <w:rsid w:val="00c75afd"/>
    <w:rPr>
      <w:rFonts w:eastAsia="Times New Roman"/>
      <w:color w:val="1F4D78"/>
      <w:sz w:val="22"/>
      <w:szCs w:val="22"/>
      <w:lang w:val="ro-RO" w:eastAsia="ro-RO"/>
    </w:rPr>
  </w:style>
  <w:style w:type="character" w:styleId="TitluCaracter" w:customStyle="1">
    <w:name w:val="Titlu Caracter"/>
    <w:basedOn w:val="DefaultParagraphFont"/>
    <w:link w:val="Title"/>
    <w:uiPriority w:val="10"/>
    <w:qFormat/>
    <w:rsid w:val="00c75afd"/>
    <w:rPr>
      <w:rFonts w:eastAsia="Times New Roman"/>
      <w:sz w:val="56"/>
      <w:szCs w:val="56"/>
      <w:lang w:val="ro-RO" w:eastAsia="ro-RO"/>
    </w:rPr>
  </w:style>
  <w:style w:type="character" w:styleId="FootnoteCharacters">
    <w:name w:val="Footnote Characters"/>
    <w:uiPriority w:val="99"/>
    <w:unhideWhenUsed/>
    <w:qFormat/>
    <w:rsid w:val="00c75afd"/>
    <w:rPr>
      <w:vertAlign w:val="superscript"/>
    </w:rPr>
  </w:style>
  <w:style w:type="character" w:styleId="FootnoteAnchor">
    <w:name w:val="Footnote Reference"/>
    <w:rPr>
      <w:vertAlign w:val="superscript"/>
    </w:rPr>
  </w:style>
  <w:style w:type="character" w:styleId="TextnotdesubsolCaracter" w:customStyle="1">
    <w:name w:val="Text notă de subsol Caracter"/>
    <w:basedOn w:val="DefaultParagraphFont"/>
    <w:link w:val="Footnote"/>
    <w:uiPriority w:val="99"/>
    <w:qFormat/>
    <w:rsid w:val="00c75afd"/>
    <w:rPr>
      <w:rFonts w:eastAsia="Times New Roman"/>
      <w:lang w:val="ro-RO" w:eastAsia="ro-RO"/>
    </w:rPr>
  </w:style>
  <w:style w:type="character" w:styleId="EndnoteCharacters">
    <w:name w:val="Endnote Characters"/>
    <w:uiPriority w:val="99"/>
    <w:unhideWhenUsed/>
    <w:qFormat/>
    <w:rsid w:val="00c75afd"/>
    <w:rPr>
      <w:vertAlign w:val="superscript"/>
    </w:rPr>
  </w:style>
  <w:style w:type="character" w:styleId="EndnoteAnchor">
    <w:name w:val="Endnote Reference"/>
    <w:rPr>
      <w:vertAlign w:val="superscript"/>
    </w:rPr>
  </w:style>
  <w:style w:type="character" w:styleId="TextnotdefinalCaracter" w:customStyle="1">
    <w:name w:val="Text notă de final Caracter"/>
    <w:basedOn w:val="DefaultParagraphFont"/>
    <w:link w:val="Endnote"/>
    <w:uiPriority w:val="99"/>
    <w:qFormat/>
    <w:rsid w:val="00c75afd"/>
    <w:rPr>
      <w:rFonts w:eastAsia="Times New Roman"/>
      <w:lang w:val="ro-RO" w:eastAsia="ro-RO"/>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qFormat/>
    <w:pPr>
      <w:snapToGrid w:val="false"/>
    </w:pPr>
    <w:rPr>
      <w:color w:val="000000"/>
      <w:szCs w:val="20"/>
      <w:lang w:val="en-US" w:eastAsia="en-US"/>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pPr/>
    <w:rPr>
      <w:rFonts w:ascii="Tahoma" w:hAnsi="Tahoma" w:cs="Tahoma"/>
      <w:sz w:val="16"/>
      <w:szCs w:val="16"/>
    </w:rPr>
  </w:style>
  <w:style w:type="paragraph" w:styleId="HeaderandFooter">
    <w:name w:val="Header and Footer"/>
    <w:basedOn w:val="Normal"/>
    <w:qFormat/>
    <w:pPr/>
    <w:rPr/>
  </w:style>
  <w:style w:type="paragraph" w:styleId="Footer">
    <w:name w:val="Footer"/>
    <w:basedOn w:val="Normal"/>
    <w:link w:val="SubsolCaracter"/>
    <w:uiPriority w:val="99"/>
    <w:qFormat/>
    <w:pPr>
      <w:tabs>
        <w:tab w:val="clear" w:pos="708"/>
        <w:tab w:val="center" w:pos="4153" w:leader="none"/>
        <w:tab w:val="right" w:pos="8306" w:leader="none"/>
      </w:tabs>
    </w:pPr>
    <w:rPr/>
  </w:style>
  <w:style w:type="paragraph" w:styleId="Header">
    <w:name w:val="Header"/>
    <w:basedOn w:val="Normal"/>
    <w:qFormat/>
    <w:pPr>
      <w:tabs>
        <w:tab w:val="clear" w:pos="708"/>
        <w:tab w:val="center" w:pos="4153" w:leader="none"/>
        <w:tab w:val="right" w:pos="8306" w:leader="none"/>
      </w:tabs>
    </w:pPr>
    <w:rPr/>
  </w:style>
  <w:style w:type="paragraph" w:styleId="NormalWeb">
    <w:name w:val="Normal (Web)"/>
    <w:basedOn w:val="Normal"/>
    <w:qFormat/>
    <w:pPr>
      <w:spacing w:beforeAutospacing="1" w:afterAutospacing="1"/>
    </w:pPr>
    <w:rPr/>
  </w:style>
  <w:style w:type="paragraph" w:styleId="NormalWeb3" w:customStyle="1">
    <w:name w:val="Normal (Web)3"/>
    <w:basedOn w:val="Normal"/>
    <w:qFormat/>
    <w:pPr>
      <w:spacing w:before="140" w:after="140"/>
      <w:ind w:left="140" w:right="140" w:hanging="0"/>
    </w:pPr>
    <w:rPr>
      <w:rFonts w:ascii="Arial Unicode MS" w:hAnsi="Arial Unicode MS" w:eastAsia="Arial Unicode MS" w:cs="Arial Unicode MS"/>
    </w:rPr>
  </w:style>
  <w:style w:type="paragraph" w:styleId="NormalWeb2" w:customStyle="1">
    <w:name w:val="Normal (Web)2"/>
    <w:basedOn w:val="Normal"/>
    <w:qFormat/>
    <w:pPr>
      <w:spacing w:before="140" w:after="140"/>
      <w:ind w:left="140" w:right="140" w:hanging="0"/>
    </w:pPr>
    <w:rPr>
      <w:rFonts w:ascii="Arial Unicode MS" w:hAnsi="Arial Unicode MS" w:eastAsia="Arial Unicode MS" w:cs="Arial Unicode MS"/>
    </w:rPr>
  </w:style>
  <w:style w:type="paragraph" w:styleId="Bodytext51" w:customStyle="1">
    <w:name w:val="Body text (5)"/>
    <w:basedOn w:val="Normal"/>
    <w:link w:val="Bodytext5"/>
    <w:uiPriority w:val="99"/>
    <w:unhideWhenUsed/>
    <w:qFormat/>
    <w:pPr>
      <w:shd w:val="clear" w:color="auto" w:fill="FFFFFF"/>
      <w:spacing w:lineRule="exact" w:line="312"/>
      <w:jc w:val="both"/>
    </w:pPr>
    <w:rPr>
      <w:b/>
      <w:sz w:val="22"/>
    </w:rPr>
  </w:style>
  <w:style w:type="paragraph" w:styleId="ListParagraph">
    <w:name w:val="List Paragraph"/>
    <w:basedOn w:val="Normal"/>
    <w:unhideWhenUsed/>
    <w:qFormat/>
    <w:rsid w:val="006159fe"/>
    <w:pPr>
      <w:spacing w:before="0" w:after="0"/>
      <w:ind w:left="720" w:hanging="0"/>
      <w:contextualSpacing/>
    </w:pPr>
    <w:rPr/>
  </w:style>
  <w:style w:type="paragraph" w:styleId="ListBullet">
    <w:name w:val="List Bullet"/>
    <w:basedOn w:val="Normal"/>
    <w:uiPriority w:val="99"/>
    <w:unhideWhenUsed/>
    <w:qFormat/>
    <w:rsid w:val="00c27b95"/>
    <w:pPr>
      <w:numPr>
        <w:ilvl w:val="0"/>
        <w:numId w:val="2"/>
      </w:numPr>
      <w:tabs>
        <w:tab w:val="clear" w:pos="708"/>
      </w:tabs>
      <w:spacing w:lineRule="auto" w:line="276" w:before="0" w:after="200"/>
      <w:ind w:left="0" w:hanging="0"/>
      <w:contextualSpacing/>
    </w:pPr>
    <w:rPr>
      <w:rFonts w:ascii="Arial" w:hAnsi="Arial" w:eastAsia="宋体" w:cs="" w:cstheme="minorBidi" w:eastAsiaTheme="minorEastAsia"/>
      <w:sz w:val="22"/>
      <w:szCs w:val="22"/>
      <w:lang w:val="en-US" w:eastAsia="en-US"/>
    </w:rPr>
  </w:style>
  <w:style w:type="paragraph" w:styleId="Title">
    <w:name w:val="Title"/>
    <w:link w:val="TitluCaracter"/>
    <w:uiPriority w:val="10"/>
    <w:qFormat/>
    <w:rsid w:val="00c75afd"/>
    <w:pPr>
      <w:widowControl/>
      <w:bidi w:val="0"/>
      <w:spacing w:before="0" w:after="0"/>
      <w:jc w:val="left"/>
    </w:pPr>
    <w:rPr>
      <w:rFonts w:eastAsia="Times New Roman" w:ascii="Times New Roman" w:hAnsi="Times New Roman" w:cs="Times New Roman"/>
      <w:color w:val="auto"/>
      <w:kern w:val="0"/>
      <w:sz w:val="56"/>
      <w:szCs w:val="56"/>
      <w:lang w:val="ro-RO" w:eastAsia="ro-RO" w:bidi="ar-SA"/>
    </w:rPr>
  </w:style>
  <w:style w:type="paragraph" w:styleId="Robust1" w:customStyle="1">
    <w:name w:val="Robust1"/>
    <w:qFormat/>
    <w:rsid w:val="00c75afd"/>
    <w:pPr>
      <w:widowControl/>
      <w:bidi w:val="0"/>
      <w:spacing w:before="0" w:after="0"/>
      <w:jc w:val="left"/>
    </w:pPr>
    <w:rPr>
      <w:rFonts w:eastAsia="Times New Roman" w:ascii="Times New Roman" w:hAnsi="Times New Roman" w:cs="Times New Roman"/>
      <w:b/>
      <w:bCs/>
      <w:color w:val="auto"/>
      <w:kern w:val="0"/>
      <w:sz w:val="22"/>
      <w:szCs w:val="22"/>
      <w:lang w:val="ro-RO" w:eastAsia="ro-RO" w:bidi="ar-SA"/>
    </w:rPr>
  </w:style>
  <w:style w:type="paragraph" w:styleId="Footnote">
    <w:name w:val="Footnote Text"/>
    <w:link w:val="TextnotdesubsolCaracter"/>
    <w:uiPriority w:val="99"/>
    <w:unhideWhenUsed/>
    <w:rsid w:val="00c75afd"/>
    <w:pPr>
      <w:widowControl/>
      <w:bidi w:val="0"/>
      <w:spacing w:before="0" w:after="0"/>
      <w:jc w:val="left"/>
    </w:pPr>
    <w:rPr>
      <w:rFonts w:eastAsia="Times New Roman" w:ascii="Times New Roman" w:hAnsi="Times New Roman" w:cs="Times New Roman"/>
      <w:color w:val="auto"/>
      <w:kern w:val="0"/>
      <w:sz w:val="20"/>
      <w:szCs w:val="20"/>
      <w:lang w:val="ro-RO" w:eastAsia="ro-RO" w:bidi="ar-SA"/>
    </w:rPr>
  </w:style>
  <w:style w:type="paragraph" w:styleId="Endnote">
    <w:name w:val="Endnote Text"/>
    <w:link w:val="TextnotdefinalCaracter"/>
    <w:uiPriority w:val="99"/>
    <w:unhideWhenUsed/>
    <w:rsid w:val="00c75afd"/>
    <w:pPr>
      <w:widowControl/>
      <w:bidi w:val="0"/>
      <w:spacing w:before="0" w:after="0"/>
      <w:jc w:val="left"/>
    </w:pPr>
    <w:rPr>
      <w:rFonts w:eastAsia="Times New Roman" w:ascii="Times New Roman" w:hAnsi="Times New Roman" w:cs="Times New Roman"/>
      <w:color w:val="auto"/>
      <w:kern w:val="0"/>
      <w:sz w:val="20"/>
      <w:szCs w:val="20"/>
      <w:lang w:val="ro-RO" w:eastAsia="ro-RO" w:bidi="ar-SA"/>
    </w:rPr>
  </w:style>
  <w:style w:type="paragraph" w:styleId="Contents1">
    <w:name w:val="TOC 1"/>
    <w:basedOn w:val="Normal"/>
    <w:next w:val="Normal"/>
    <w:uiPriority w:val="39"/>
    <w:unhideWhenUsed/>
    <w:pPr/>
    <w:rPr>
      <w:sz w:val="20"/>
      <w:szCs w:val="20"/>
    </w:rPr>
  </w:style>
  <w:style w:type="paragraph" w:styleId="Contents2">
    <w:name w:val="TOC 2"/>
    <w:basedOn w:val="Normal"/>
    <w:next w:val="Normal"/>
    <w:uiPriority w:val="39"/>
    <w:unhideWhenUsed/>
    <w:pPr>
      <w:ind w:left="220" w:hanging="0"/>
    </w:pPr>
    <w:rPr>
      <w:sz w:val="20"/>
      <w:szCs w:val="20"/>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el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hyperlink" Target="mailto:info@primpuc.ro" TargetMode="Externa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8030BF-40C5-4CFA-B46B-70C5C16B81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LibreOffice/7.5.3.2$Windows_X86_64 LibreOffice_project/9f56dff12ba03b9acd7730a5a481eea045e468f3</Application>
  <AppVersion>15.0000</AppVersion>
  <Pages>43</Pages>
  <Words>6932</Words>
  <Characters>40384</Characters>
  <CharactersWithSpaces>46547</CharactersWithSpaces>
  <Paragraphs>749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2026-08-05T16:40:00Z</dcterms:created>
  <dc:creator>NT</dc:creator>
  <dc:description/>
  <dc:language>en-US</dc:language>
  <cp:lastModifiedBy>scuppucioasa</cp:lastModifiedBy>
  <cp:lastPrinted>2026-02-24T06:18:00Z</cp:lastPrinted>
  <dcterms:modified xsi:type="dcterms:W3CDTF">2026-08-06T03:17:00Z</dcterms:modified>
  <cp:revision>3</cp:revision>
  <dc:subject/>
  <dc:title>SC SERVICII COMUNITARE DE UTILITATI PUBLICE PUCIOASA SCUP SRL</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E202BF61316344A086940F77BF20FCE4</vt:lpwstr>
  </property>
  <property fmtid="{D5CDD505-2E9C-101B-9397-08002B2CF9AE}" pid="3" name="KSOProductBuildVer">
    <vt:lpwstr>1033-12.2.0.13266</vt:lpwstr>
  </property>
</Properties>
</file>